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pacing w:val="-22"/>
          <w:sz w:val="68"/>
          <w:szCs w:val="68"/>
        </w:rPr>
      </w:pPr>
      <w:bookmarkStart w:id="1" w:name="_Toc15396475"/>
      <w:bookmarkStart w:id="2" w:name="_Toc15377193"/>
      <w:bookmarkStart w:id="3" w:name="_Toc15396597"/>
      <w:bookmarkStart w:id="4" w:name="_Toc15378441"/>
      <w:bookmarkStart w:id="5" w:name="_Toc15377425"/>
      <w:r>
        <w:rPr>
          <w:rFonts w:ascii="黑体" w:hAnsi="黑体" w:eastAsia="黑体"/>
          <w:color w:val="000000"/>
          <w:spacing w:val="-22"/>
          <w:sz w:val="68"/>
          <w:szCs w:val="68"/>
        </w:rPr>
        <w:t>201</w:t>
      </w:r>
      <w:r>
        <w:rPr>
          <w:rFonts w:hint="eastAsia" w:ascii="黑体" w:hAnsi="黑体" w:eastAsia="黑体"/>
          <w:color w:val="000000"/>
          <w:spacing w:val="-22"/>
          <w:sz w:val="68"/>
          <w:szCs w:val="68"/>
        </w:rPr>
        <w:t>8</w:t>
      </w:r>
      <w:r>
        <w:rPr>
          <w:rFonts w:hint="eastAsia" w:ascii="方正小标宋简体" w:hAnsi="宋体" w:eastAsia="方正小标宋简体"/>
          <w:color w:val="000000"/>
          <w:spacing w:val="-22"/>
          <w:sz w:val="68"/>
          <w:szCs w:val="68"/>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pacing w:val="-22"/>
          <w:sz w:val="68"/>
          <w:szCs w:val="68"/>
        </w:rPr>
      </w:pPr>
      <w:bookmarkStart w:id="6" w:name="_Toc15396598"/>
      <w:bookmarkStart w:id="7" w:name="_Toc15377426"/>
      <w:bookmarkStart w:id="8" w:name="_Toc15377194"/>
      <w:bookmarkStart w:id="9" w:name="_Toc15396476"/>
      <w:bookmarkStart w:id="10" w:name="_Toc15378442"/>
      <w:r>
        <w:rPr>
          <w:rFonts w:hint="eastAsia" w:ascii="方正小标宋简体" w:hAnsi="宋体" w:eastAsia="方正小标宋简体"/>
          <w:color w:val="000000"/>
          <w:spacing w:val="-22"/>
          <w:sz w:val="68"/>
          <w:szCs w:val="68"/>
        </w:rPr>
        <w:t>四川省广元市</w:t>
      </w:r>
      <w:bookmarkEnd w:id="0"/>
      <w:bookmarkStart w:id="11" w:name="_Toc15306268"/>
      <w:r>
        <w:rPr>
          <w:rFonts w:hint="eastAsia" w:ascii="方正小标宋简体" w:hAnsi="宋体" w:eastAsia="方正小标宋简体"/>
          <w:color w:val="000000"/>
          <w:spacing w:val="-22"/>
          <w:sz w:val="68"/>
          <w:szCs w:val="68"/>
        </w:rPr>
        <w:t>人民政府国有资产监督管理委员会部门决算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pacing w:val="-22"/>
          <w:sz w:val="68"/>
          <w:szCs w:val="68"/>
        </w:rPr>
      </w:pPr>
      <w:r>
        <w:rPr>
          <w:rFonts w:hint="eastAsia" w:ascii="方正小标宋简体" w:hAnsi="宋体" w:eastAsia="方正小标宋简体"/>
          <w:color w:val="000000"/>
          <w:spacing w:val="-22"/>
          <w:sz w:val="68"/>
          <w:szCs w:val="68"/>
        </w:rPr>
        <w:t>编</w:t>
      </w:r>
    </w:p>
    <w:p>
      <w:pPr>
        <w:adjustRightInd w:val="0"/>
        <w:snapToGrid w:val="0"/>
        <w:spacing w:line="360" w:lineRule="auto"/>
        <w:jc w:val="center"/>
        <w:outlineLvl w:val="0"/>
        <w:rPr>
          <w:rFonts w:ascii="方正小标宋简体" w:hAnsi="宋体" w:eastAsia="方正小标宋简体"/>
          <w:color w:val="000000"/>
          <w:spacing w:val="-22"/>
          <w:sz w:val="68"/>
          <w:szCs w:val="68"/>
        </w:rPr>
      </w:pPr>
      <w:r>
        <w:rPr>
          <w:rFonts w:hint="eastAsia" w:ascii="方正小标宋简体" w:hAnsi="宋体" w:eastAsia="方正小标宋简体"/>
          <w:color w:val="000000"/>
          <w:spacing w:val="-22"/>
          <w:sz w:val="68"/>
          <w:szCs w:val="68"/>
        </w:rPr>
        <w:t>制</w:t>
      </w:r>
    </w:p>
    <w:p>
      <w:pPr>
        <w:adjustRightInd w:val="0"/>
        <w:snapToGrid w:val="0"/>
        <w:spacing w:line="360" w:lineRule="auto"/>
        <w:jc w:val="center"/>
        <w:outlineLvl w:val="0"/>
        <w:rPr>
          <w:rFonts w:ascii="方正小标宋简体" w:hAnsi="宋体" w:eastAsia="方正小标宋简体"/>
          <w:color w:val="000000"/>
          <w:spacing w:val="-22"/>
          <w:sz w:val="68"/>
          <w:szCs w:val="68"/>
        </w:rPr>
      </w:pPr>
      <w:r>
        <w:rPr>
          <w:rFonts w:hint="eastAsia" w:ascii="方正小标宋简体" w:hAnsi="宋体" w:eastAsia="方正小标宋简体"/>
          <w:color w:val="000000"/>
          <w:spacing w:val="-22"/>
          <w:sz w:val="68"/>
          <w:szCs w:val="68"/>
        </w:rPr>
        <w:t>说</w:t>
      </w:r>
    </w:p>
    <w:p>
      <w:pPr>
        <w:adjustRightInd w:val="0"/>
        <w:snapToGrid w:val="0"/>
        <w:spacing w:line="360" w:lineRule="auto"/>
        <w:jc w:val="center"/>
        <w:outlineLvl w:val="0"/>
        <w:rPr>
          <w:rFonts w:ascii="方正小标宋简体" w:hAnsi="宋体" w:eastAsia="方正小标宋简体"/>
          <w:color w:val="000000"/>
          <w:spacing w:val="-22"/>
          <w:sz w:val="68"/>
          <w:szCs w:val="68"/>
        </w:rPr>
      </w:pPr>
      <w:r>
        <w:rPr>
          <w:rFonts w:hint="eastAsia" w:ascii="方正小标宋简体" w:hAnsi="宋体" w:eastAsia="方正小标宋简体"/>
          <w:color w:val="000000"/>
          <w:spacing w:val="-22"/>
          <w:sz w:val="68"/>
          <w:szCs w:val="68"/>
        </w:rPr>
        <w:t>明</w:t>
      </w:r>
    </w:p>
    <w:p>
      <w:pPr>
        <w:widowControl/>
        <w:jc w:val="center"/>
        <w:rPr>
          <w:rFonts w:ascii="黑体" w:hAnsi="黑体" w:eastAsia="黑体"/>
          <w:color w:val="000000"/>
          <w:sz w:val="48"/>
          <w:szCs w:val="48"/>
        </w:rPr>
      </w:pPr>
      <w:r>
        <w:rPr>
          <w:rFonts w:ascii="方正小标宋简体" w:hAnsi="宋体" w:eastAsia="方正小标宋简体"/>
          <w:color w:val="000000"/>
          <w:sz w:val="56"/>
          <w:szCs w:val="56"/>
        </w:rPr>
        <w:br w:type="page"/>
      </w:r>
      <w:r>
        <w:rPr>
          <w:rFonts w:hint="eastAsia" w:ascii="黑体" w:hAnsi="黑体" w:eastAsia="黑体"/>
          <w:color w:val="000000"/>
          <w:sz w:val="48"/>
          <w:szCs w:val="48"/>
        </w:rPr>
        <w:t>目录</w:t>
      </w:r>
    </w:p>
    <w:p>
      <w:pPr>
        <w:widowControl/>
        <w:jc w:val="center"/>
        <w:rPr>
          <w:rFonts w:ascii="黑体" w:hAnsi="黑体" w:eastAsia="黑体"/>
          <w:color w:val="000000"/>
          <w:sz w:val="48"/>
          <w:szCs w:val="48"/>
        </w:rPr>
      </w:pPr>
    </w:p>
    <w:p>
      <w:pPr>
        <w:pStyle w:val="10"/>
        <w:rPr>
          <w:rFonts w:ascii="黑体" w:hAnsi="黑体" w:eastAsia="黑体" w:cstheme="minorBidi"/>
        </w:rPr>
      </w:pPr>
      <w:r>
        <w:rPr>
          <w:rFonts w:hint="eastAsia"/>
        </w:rPr>
        <w:t>公开时间：2019年9月26日</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12</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1"/>
        <w:tabs>
          <w:tab w:val="left" w:pos="851"/>
        </w:tabs>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28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31</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31</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36</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36</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bookmarkStart w:id="18" w:name="_Toc15378446"/>
      <w:bookmarkStart w:id="19" w:name="_Toc15377199"/>
    </w:p>
    <w:p>
      <w:pPr>
        <w:pStyle w:val="5"/>
        <w:adjustRightInd w:val="0"/>
        <w:snapToGrid w:val="0"/>
        <w:spacing w:before="93" w:line="600" w:lineRule="exact"/>
        <w:ind w:firstLine="640" w:firstLineChars="200"/>
        <w:outlineLvl w:val="2"/>
        <w:rPr>
          <w:rFonts w:ascii="仿宋" w:hAnsi="仿宋" w:eastAsia="仿宋"/>
          <w:sz w:val="32"/>
          <w:szCs w:val="32"/>
        </w:rPr>
      </w:pPr>
      <w:r>
        <w:rPr>
          <w:rFonts w:hint="eastAsia" w:ascii="仿宋" w:hAnsi="仿宋" w:eastAsia="仿宋"/>
          <w:sz w:val="32"/>
          <w:szCs w:val="32"/>
        </w:rPr>
        <w:t>1.根据市政府授权,依照《中华人民共和国公司法》、《中华人民共和国企业国有资产法》等法律和行政法规履行出资人职责,监管市属企业的国有资产,加强国有资产的管理工作。</w:t>
      </w:r>
    </w:p>
    <w:p>
      <w:pPr>
        <w:pStyle w:val="5"/>
        <w:adjustRightInd w:val="0"/>
        <w:snapToGrid w:val="0"/>
        <w:spacing w:before="93" w:line="600" w:lineRule="exact"/>
        <w:ind w:firstLine="672" w:firstLineChars="210"/>
        <w:outlineLvl w:val="2"/>
        <w:rPr>
          <w:rFonts w:ascii="仿宋" w:hAnsi="仿宋" w:eastAsia="仿宋"/>
          <w:sz w:val="32"/>
          <w:szCs w:val="32"/>
        </w:rPr>
      </w:pPr>
      <w:r>
        <w:rPr>
          <w:rFonts w:hint="eastAsia" w:ascii="仿宋" w:hAnsi="仿宋" w:eastAsia="仿宋"/>
          <w:sz w:val="32"/>
          <w:szCs w:val="32"/>
        </w:rPr>
        <w:t>2.研究拟订国有资产管理的办法和制度规定,依法对县区国有资产管理进行指导。</w:t>
      </w:r>
    </w:p>
    <w:p>
      <w:pPr>
        <w:pStyle w:val="5"/>
        <w:adjustRightInd w:val="0"/>
        <w:snapToGrid w:val="0"/>
        <w:spacing w:before="93" w:line="600" w:lineRule="exact"/>
        <w:ind w:firstLine="672" w:firstLineChars="210"/>
        <w:outlineLvl w:val="2"/>
        <w:rPr>
          <w:rFonts w:ascii="仿宋" w:hAnsi="仿宋" w:eastAsia="仿宋"/>
          <w:sz w:val="32"/>
          <w:szCs w:val="32"/>
        </w:rPr>
      </w:pPr>
      <w:r>
        <w:rPr>
          <w:rFonts w:hint="eastAsia" w:ascii="仿宋" w:hAnsi="仿宋" w:eastAsia="仿宋"/>
          <w:sz w:val="32"/>
          <w:szCs w:val="32"/>
        </w:rPr>
        <w:t>3.承担监督所监管企业国有资产保值增值的责任,建立和完善国有资产保值增值指标体系,制订考核标准,通过统计、稽核等方式对所监管企业国有资产保值增值情况进行监管,负责所监管企业工资分配管理工作,制定所监管企业负责人收入分配政策并组织实施。</w:t>
      </w:r>
    </w:p>
    <w:p>
      <w:pPr>
        <w:pStyle w:val="5"/>
        <w:adjustRightInd w:val="0"/>
        <w:snapToGrid w:val="0"/>
        <w:spacing w:before="93" w:line="600" w:lineRule="exact"/>
        <w:ind w:firstLine="672" w:firstLineChars="210"/>
        <w:outlineLvl w:val="2"/>
        <w:rPr>
          <w:rFonts w:ascii="仿宋" w:hAnsi="仿宋" w:eastAsia="仿宋"/>
          <w:sz w:val="32"/>
          <w:szCs w:val="32"/>
        </w:rPr>
      </w:pPr>
      <w:r>
        <w:rPr>
          <w:rFonts w:hint="eastAsia" w:ascii="仿宋" w:hAnsi="仿宋" w:eastAsia="仿宋"/>
          <w:sz w:val="32"/>
          <w:szCs w:val="32"/>
        </w:rPr>
        <w:t>4.指导推进国有企业改革和重组,推进国有企业的现代企业制度建设,完善公司法人治理结构,推动国有经济布局和结构的战略性调整。</w:t>
      </w:r>
    </w:p>
    <w:p>
      <w:pPr>
        <w:pStyle w:val="5"/>
        <w:adjustRightInd w:val="0"/>
        <w:snapToGrid w:val="0"/>
        <w:spacing w:before="93" w:line="600" w:lineRule="exact"/>
        <w:ind w:firstLine="672" w:firstLineChars="210"/>
        <w:outlineLvl w:val="2"/>
        <w:rPr>
          <w:rFonts w:ascii="仿宋" w:hAnsi="仿宋" w:eastAsia="仿宋"/>
          <w:sz w:val="32"/>
          <w:szCs w:val="32"/>
        </w:rPr>
      </w:pPr>
      <w:r>
        <w:rPr>
          <w:rFonts w:hint="eastAsia" w:ascii="仿宋" w:hAnsi="仿宋" w:eastAsia="仿宋"/>
          <w:sz w:val="32"/>
          <w:szCs w:val="32"/>
        </w:rPr>
        <w:t>5.通过法定程序对所监管企业负责人进行任免、考核并根据其经营业绩进行奖惩；建立符合社会主义市场经济体制和现代企业制度要求的选人、用人机制,完善经营者激励和约束制度。</w:t>
      </w:r>
    </w:p>
    <w:p>
      <w:pPr>
        <w:pStyle w:val="5"/>
        <w:adjustRightInd w:val="0"/>
        <w:snapToGrid w:val="0"/>
        <w:spacing w:before="93" w:line="600" w:lineRule="exact"/>
        <w:ind w:firstLine="672" w:firstLineChars="210"/>
        <w:outlineLvl w:val="2"/>
        <w:rPr>
          <w:rFonts w:ascii="仿宋" w:hAnsi="仿宋" w:eastAsia="仿宋"/>
          <w:sz w:val="32"/>
          <w:szCs w:val="32"/>
        </w:rPr>
      </w:pPr>
      <w:r>
        <w:rPr>
          <w:rFonts w:hint="eastAsia" w:ascii="仿宋" w:hAnsi="仿宋" w:eastAsia="仿宋"/>
          <w:sz w:val="32"/>
          <w:szCs w:val="32"/>
        </w:rPr>
        <w:t>6.按照有关规定,代表市政府向所监管企业派出监事会,负责监事会的日常管理工作。</w:t>
      </w:r>
    </w:p>
    <w:p>
      <w:pPr>
        <w:pStyle w:val="5"/>
        <w:adjustRightInd w:val="0"/>
        <w:snapToGrid w:val="0"/>
        <w:spacing w:before="93" w:line="600" w:lineRule="exact"/>
        <w:ind w:firstLine="672" w:firstLineChars="210"/>
        <w:outlineLvl w:val="2"/>
        <w:rPr>
          <w:rFonts w:ascii="仿宋" w:hAnsi="仿宋" w:eastAsia="仿宋"/>
          <w:sz w:val="32"/>
          <w:szCs w:val="32"/>
        </w:rPr>
      </w:pPr>
      <w:r>
        <w:rPr>
          <w:rFonts w:hint="eastAsia" w:ascii="仿宋" w:hAnsi="仿宋" w:eastAsia="仿宋"/>
          <w:sz w:val="32"/>
          <w:szCs w:val="32"/>
        </w:rPr>
        <w:t>7.监缴所监管企业国有资本金收益,编制国有资本预算和执行方案；监缴市级行政事业单位经营性资产收益。</w:t>
      </w:r>
    </w:p>
    <w:p>
      <w:pPr>
        <w:pStyle w:val="5"/>
        <w:adjustRightInd w:val="0"/>
        <w:snapToGrid w:val="0"/>
        <w:spacing w:before="93" w:line="600" w:lineRule="exact"/>
        <w:ind w:firstLine="672" w:firstLineChars="210"/>
        <w:outlineLvl w:val="2"/>
        <w:rPr>
          <w:rFonts w:ascii="仿宋" w:hAnsi="仿宋" w:eastAsia="仿宋"/>
          <w:sz w:val="32"/>
          <w:szCs w:val="32"/>
        </w:rPr>
      </w:pPr>
      <w:r>
        <w:rPr>
          <w:rFonts w:hint="eastAsia" w:ascii="仿宋" w:hAnsi="仿宋" w:eastAsia="仿宋"/>
          <w:sz w:val="32"/>
          <w:szCs w:val="32"/>
        </w:rPr>
        <w:t>8.负责对国有企业及行政事业单位国有资产实行监督管理,负责国有资产的产权界定、清产核资、资产评估、资产处置等项工作,确保国有资产运行安全、完善,提高使用效能。</w:t>
      </w:r>
    </w:p>
    <w:p>
      <w:pPr>
        <w:pStyle w:val="5"/>
        <w:adjustRightInd w:val="0"/>
        <w:snapToGrid w:val="0"/>
        <w:spacing w:before="93" w:line="600" w:lineRule="exact"/>
        <w:ind w:firstLine="672" w:firstLineChars="210"/>
        <w:outlineLvl w:val="2"/>
        <w:rPr>
          <w:rFonts w:ascii="仿宋" w:hAnsi="仿宋" w:eastAsia="仿宋"/>
          <w:sz w:val="32"/>
          <w:szCs w:val="32"/>
        </w:rPr>
      </w:pPr>
      <w:r>
        <w:rPr>
          <w:rFonts w:hint="eastAsia" w:ascii="仿宋" w:hAnsi="仿宋" w:eastAsia="仿宋"/>
          <w:sz w:val="32"/>
          <w:szCs w:val="32"/>
        </w:rPr>
        <w:t>9.协调中央、省和外地在广国有企业改革发展中与地方相关的事宜。</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sz w:val="32"/>
          <w:szCs w:val="32"/>
        </w:rPr>
        <w:t>10.承办市委、市政府交办的其他事项。</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ind w:firstLine="640" w:firstLineChars="200"/>
        <w:rPr>
          <w:rFonts w:ascii="仿宋" w:hAnsi="仿宋" w:eastAsia="仿宋"/>
          <w:sz w:val="32"/>
          <w:szCs w:val="32"/>
        </w:rPr>
      </w:pPr>
      <w:r>
        <w:rPr>
          <w:rFonts w:hint="eastAsia" w:ascii="仿宋" w:hAnsi="仿宋" w:eastAsia="仿宋"/>
          <w:sz w:val="32"/>
          <w:szCs w:val="32"/>
        </w:rPr>
        <w:t>1.主要经济指标稳定增长，企业运行平稳向好。我委始终坚持把稳增长作为重中之重，通过强化责任落实、治亏解困、考核激励、经济运行监测、风险防控等措施不断深化提质增效工作，推动市属企业经济运行稳中向好。截止11月末，市属国有企业资产总额301.97亿元，同比增长12.00%；所有者权益总额101.61亿元，同比增长8.58%；市属企业累计实现营业收入22.10亿元，同比增长22.43%，完成年度目标任务20亿元的110.50%，实现利税总额10016万元，完成年度目标任务9000万元的111.29%。同时，1-11月，市金服集团为全市1005户中小微企业及“三农组织”，累计提供3132笔67.66亿元的综合金融服务总量（其中达信产权签证业务40亿元），同比增长109.81%，完成目标任务25亿元的270.64 %；市级行政事业单位经营性资产实现租赁收入1244万元，完成全年目标104%；市属国有企业不断拓宽融资渠道，通过扶贫债、棚户区改造专项贷款融资67.5亿元，有效保障了全市重点项目建设和企业经营的资金需求。</w:t>
      </w:r>
    </w:p>
    <w:p>
      <w:pPr>
        <w:ind w:firstLine="640" w:firstLineChars="200"/>
        <w:rPr>
          <w:rFonts w:ascii="仿宋" w:hAnsi="仿宋" w:eastAsia="仿宋"/>
          <w:sz w:val="32"/>
          <w:szCs w:val="32"/>
        </w:rPr>
      </w:pPr>
      <w:r>
        <w:rPr>
          <w:rFonts w:hint="eastAsia" w:ascii="仿宋" w:hAnsi="仿宋" w:eastAsia="仿宋"/>
          <w:sz w:val="32"/>
          <w:szCs w:val="32"/>
        </w:rPr>
        <w:t>2.聚力项目投资“大比武”，项目投资成效明显。我委坚决贯彻落实市委市政府项目投资“大比武”的安排</w:t>
      </w:r>
      <w:r>
        <w:rPr>
          <w:rFonts w:hint="eastAsia" w:ascii="仿宋" w:hAnsi="仿宋" w:eastAsia="仿宋"/>
          <w:sz w:val="32"/>
          <w:szCs w:val="32"/>
          <w:lang w:eastAsia="zh-CN"/>
        </w:rPr>
        <w:t>部</w:t>
      </w:r>
      <w:bookmarkStart w:id="76" w:name="_GoBack"/>
      <w:bookmarkEnd w:id="76"/>
      <w:r>
        <w:rPr>
          <w:rFonts w:hint="eastAsia" w:ascii="仿宋" w:hAnsi="仿宋" w:eastAsia="仿宋"/>
          <w:sz w:val="32"/>
          <w:szCs w:val="32"/>
        </w:rPr>
        <w:t>署，把项目投资作为稳增长和高质量发展的压舱石、定心丸，组建国资系统重大项目推进中心，编印《广元国资国企业项目投资指南》，建立国资企业项目统一协调调度机制，实行项目“AB”角管理，强化项目全过程监管跟踪服务,为国有经济高质量发展提供强大支撑。一是项目建设提速提效。截止11月底，完成新入库项目10个，新开工项目6个，完成固定资产投资15.85亿元，预计2018年全年可实现固定资产投资18.42亿元，完成全年目标任务的102%；储备项目总投资120亿元，超目标任务44%；指导国有企业向上争取资金2937.25万元，占全年目标任务 84.82%，预计可完成全年目标任务。二是项目招引成效明显。策划了涵盖基础设施、生态康养等六大类40个总投资260亿项目，首次编制完成市属国有企业投资指南。招商引资到位资金3.83亿元，完成全年目标任务的109.42%。同时，推动相关企业与北新大弘、环球雅途等8户企业合作并签订合作协议。其中，三江建投公司与金鼎兴川及其联合体中电建成都院正式签订《广元三江新区开发建设筹资合作协议》《广元市三江新区基础设施建设项目勘察设计施工融资一体化承包（EPC+F）合同协议》。至此，三江建投第一批次项目“投融建”体系正式建立，我市首个EPC+F（总承包+融资）项目落地。三是重点项目加快推进。凤凰山棚户区安置还建房和东山半岛项目通过市属国企“代建”、“全盘接手”的模式，成功化解社会资本方资金断链难题，有效促进项目顺利推进，并切实维护了社会稳定。我市第二水源白龙水厂（一期）项目完成投资3亿元，净水厂主体工程完成90%，供水管道安装完成57%，预计19年3月实现竣工投产。我市首个EPC+F项目子项目宝轮环线道路工程（南线）正式开工。</w:t>
      </w:r>
    </w:p>
    <w:p>
      <w:pPr>
        <w:ind w:firstLine="640" w:firstLineChars="200"/>
        <w:rPr>
          <w:rFonts w:ascii="仿宋" w:hAnsi="仿宋" w:eastAsia="仿宋"/>
          <w:sz w:val="32"/>
          <w:szCs w:val="32"/>
        </w:rPr>
      </w:pPr>
      <w:r>
        <w:rPr>
          <w:rFonts w:hint="eastAsia" w:ascii="仿宋" w:hAnsi="仿宋" w:eastAsia="仿宋"/>
          <w:sz w:val="32"/>
          <w:szCs w:val="32"/>
        </w:rPr>
        <w:t>3.不断深化国企改革，国企转型升级步伐加快。深入贯彻新发展理念，不断推动国有资本布局结构更优、质量效益更好。一是加快国有资本布局优化。按照市委市政府审议通过的《市属国有企业整合重组建议方案》，将业务相近、资源分散的3户城建企业重组整合，组建市城建集团。同时，组建了三江建投公司、昭旺家居产业投资公司等，推动国有资本向新区建设、基础设施与民生保障等关键领域以及家居、铝产业、新材料等优势产业集聚，国有资本引导功能进一步增强。二是加快生产经营类事业单位转企改制。推进市公交公司、市房地产经营公司等生产经营类事业单位转企改制工作，实施公司化改造、完善现代企业制度和法人治理结构。三是加快市属企业转型发展。推动交旅集团由客运为主向旅游运输、商贸物流转型，大力发展保税仓、蓉欧班列仓储物流业务。推动市资博集团由市场经营向“农业全产业链”转型。四是大力发展混合所有制经济。市属企业通过联合投资、战略合作等方式积极加强与社会资本合作。组建四川广运九州通医药有限公司，推动我市中药材仓储物流、种植、初深加工全产业链发展。为盘活鹏欣存量资产，市工贸集团与江苏靖江盛金公司组建混合所有制企业，大力发展植酸钙项目。市资博集团与北新大弘公司以项目合作为依托，组建广元大瑞农业发展有限公司混合所有制企业，共同建设和运营川陕甘国际农产品物流（批发）交易中心。</w:t>
      </w:r>
    </w:p>
    <w:p>
      <w:pPr>
        <w:ind w:firstLine="640" w:firstLineChars="200"/>
        <w:rPr>
          <w:rFonts w:ascii="仿宋" w:hAnsi="仿宋" w:eastAsia="仿宋"/>
          <w:sz w:val="32"/>
          <w:szCs w:val="32"/>
        </w:rPr>
      </w:pPr>
      <w:r>
        <w:rPr>
          <w:rFonts w:hint="eastAsia" w:ascii="仿宋" w:hAnsi="仿宋" w:eastAsia="仿宋"/>
          <w:sz w:val="32"/>
          <w:szCs w:val="32"/>
        </w:rPr>
        <w:t>4.突出职能转变依法监管，国资监管水平不断提高。紧紧围绕“以管资本为主”要求，加快市国资委职能转变，突出分类监管，严格依法监管，依规监管，实施“放权、监管、服务”相结合，达到监管到位、不缺位、不越位，有效形成监管合力。一是强化重点领域和关键环节监督。全面落实企业法律顾问制度，有效推动重大决策合法性审查全覆盖。严格国有产权交易管理，今年以来，市属国有产权交易成交114宗，成交金额近10亿。其中协议成交4宗，成交金额6.35亿元，竞价项目110宗，成交金额3.40亿元，竞价项目增值率233.7%。同时，加大对混合所有制企业监督检查，严防国有资产流失。二是综合运用多种监督方式形成监管合力。强化外派监事会监督，加大监督检查和问题整改力度。今年以来，揭示问题69个，下发提醒函、主席函 26份，督促整改问题18个，将整改情况纳入市属企业目标考核。严格落实审计监督，对审计中发现的城投公司城北片区改造建设项目二项目区1号排洪沟工程投资项目变更问题、国投公司未按约定收取保证金和为排污单位承担排污费问题进行督促整改。强化委派财务总监监督，建立财务总监日常监管具体规定和日常配套监管措施，财务监督取得一定成效。三是强化经济运行监测。建立经济运行分析制度，坚持月度、季度、年度经济运行分析，加强对宏观经济形势和企业运营的动态监测，一企一策，解剖麻雀，共同协调解决企业生产经营中面临的困难和问题，促进企业健康发展。</w:t>
      </w:r>
    </w:p>
    <w:p>
      <w:pPr>
        <w:ind w:firstLine="640" w:firstLineChars="200"/>
        <w:rPr>
          <w:rFonts w:ascii="仿宋" w:hAnsi="仿宋" w:eastAsia="仿宋"/>
          <w:sz w:val="32"/>
          <w:szCs w:val="32"/>
        </w:rPr>
      </w:pPr>
      <w:r>
        <w:rPr>
          <w:rFonts w:hint="eastAsia" w:ascii="仿宋" w:hAnsi="仿宋" w:eastAsia="仿宋"/>
          <w:sz w:val="32"/>
          <w:szCs w:val="32"/>
        </w:rPr>
        <w:t>5.防范化解债务风险，不断提升企业抗风险能力和经营能力。面对接踵而来的债务集中到期问题，切实防范企业到期兑付风险、企业经营风险、平台信誉违约风险，我委积极应对，多措并举，全力防范化解债务风险。一是强化债务风险管控。出台防范化解市属企业债务风险工作方案，并制定2018年市属国有企业债务风险工作计划，分类建立企业资产负债率警戒线，强化负债规模和资产负债率双重管控。二是梳理债务，明确责任。根据“谁用款，谁承担”的总原则，对平台公司存量的融资性债务进行逐一梳理，明确每笔债务具体使用单位和使用额度，以此为据确定还款主体。10月份，协调资金近10亿缓解了国投公司平台债务集中兑付问题，避免了债务违约。三是做好银行贷款展期工作。根据贷款到期兑付节奏，督促平台公司提前沟通银行等金融机构，争取对偿付存在一定问题的债务申请续贷、展期，拉长贷款存续期，通过“以新换旧、以时间换空间”，缓解整体偿债压力。针对11月份即将到期的债务平滑基金，督促国投公司主动与债权人贵阳银行沟通，通过续贷、展期等方式化解债务兑付风险。四是做好后续融资工作。督促平台公司继续利用好现有的平台优势和外部评级，在保证合理的资产负债率的情况下，持续对外融资，力争通过债券发行、非标准化融资对大规模的债务进行平滑和接续。</w:t>
      </w:r>
    </w:p>
    <w:p>
      <w:pPr>
        <w:ind w:firstLine="640" w:firstLineChars="200"/>
        <w:rPr>
          <w:rFonts w:ascii="仿宋" w:hAnsi="仿宋" w:eastAsia="仿宋"/>
          <w:sz w:val="32"/>
          <w:szCs w:val="32"/>
        </w:rPr>
      </w:pPr>
      <w:r>
        <w:rPr>
          <w:rFonts w:hint="eastAsia" w:ascii="仿宋" w:hAnsi="仿宋" w:eastAsia="仿宋"/>
          <w:sz w:val="32"/>
          <w:szCs w:val="32"/>
        </w:rPr>
        <w:t>6.坚持全面从严治党，国企党建不断加强。一是聚焦党的政治建设。始终坚持党对国企的领导，严肃政治纪律、政治规矩，确保中央大政方针和省委省政府、市委市政府决策部署在国企国资系统落地落实。开展集中宣讲230余场、中心组学习150余场次、党组织书记讲党课200余场次。扎实开展“大学习、大讨论、大调研”活动,形成调研报告30余份。二是切实加强领导班子和人才队伍建设。坚持党管干部原则，制定了市属国有企业领导班子及领导人员分层分类管理意见。对12户市属国有企业领导人员纳入市委管理，充分发挥企业党委领导作用，确保党的意图贯穿企业改革发展和生产经营全过程。坚持党管人才原则，完成对市属国有企业人才队伍建设情况大调研，形成人才工作调研报告，并出台《广元市国有企业人才激励办法》。建立了党建、工程、财务、管理以及党外知识分子人才库和人才成长档案。同时，加大市场化选聘力度，全年市场化选聘企业高级管理人员30余名。三是创新实施“强基固本”党建质量提升工程。出台《广元市国有企业党建“双提融合”三年行动计划》。推进党建目标与企业发展目标融合，12户集团公司党建占整体绩效考核比重达到了30%，其中4家达到了50%。健全完善“双向进入、交叉任职”体制，构建党组织与企业法人治理结构相互融合，集团公司交叉任职达100%。创新开展“服务之星”评选等主题活动，塑造“融情万里、广运天下”党建文化品牌，成功注册“亲情相约”服务品牌和“7182”服务队商标，推动文化融合。健全落实“双报告”“四个不直接分管”“一案双查”等制度，探索建立党委领导、法律工作者参与、专业人士指导的廉政风险排查防控处置机制，推动制度融合。实行党务人员与同级经营管理人员同考核、同待遇、同奖惩，按照职工工资总额的1%将党建经费列入年度预算，按照“六有”标准规范化建设支部党员活动阵地，推进保障融合。四是切实加强党风廉政建设。以“知耻而后勇，重塑国资新形象”为主线，切实推动政风行风和机关效能大转变。认真落实“两个责任”，层层签订责任书，层层建立“三单”，压紧压实党风廉政建设责任。扎实开展“作风纪律深化年”活动，聚焦市国资国企系统在产权交易、财务管理、选人用人等方面存在的突出的问题，开展“6+3”专项整治行动，力推“十大举措”，通过企业自查、监督巡查发现问题58个，督促整改问题39个，国资国企系统政治生态持续向好。</w:t>
      </w:r>
    </w:p>
    <w:p>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ind w:firstLine="640" w:firstLineChars="200"/>
        <w:rPr>
          <w:rFonts w:ascii="仿宋" w:hAnsi="仿宋" w:eastAsia="仿宋"/>
          <w:sz w:val="32"/>
          <w:szCs w:val="32"/>
        </w:rPr>
      </w:pPr>
      <w:r>
        <w:rPr>
          <w:rFonts w:hint="eastAsia" w:ascii="仿宋" w:hAnsi="仿宋" w:eastAsia="仿宋"/>
          <w:sz w:val="32"/>
          <w:szCs w:val="32"/>
        </w:rPr>
        <w:t>市国资委下属二级单位1个，其中行政单位0个，参照公务员法管理的事业单位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个，其他事业单位1个。</w:t>
      </w:r>
    </w:p>
    <w:p>
      <w:pPr>
        <w:pStyle w:val="5"/>
        <w:adjustRightInd w:val="0"/>
        <w:snapToGrid w:val="0"/>
        <w:spacing w:before="93"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纳入市国资委2018年度部门决算编制范围的二级预算单位包括：广元市国有资产管理中心。</w:t>
      </w:r>
    </w:p>
    <w:p>
      <w:pPr>
        <w:pStyle w:val="2"/>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2018年度收、支总计8005.78万元。与2017年相比，收、支总计各增加6286.86万元，增长365.74</w:t>
      </w:r>
      <w:r>
        <w:rPr>
          <w:rFonts w:ascii="仿宋" w:hAnsi="仿宋" w:eastAsia="仿宋"/>
          <w:color w:val="000000"/>
          <w:sz w:val="32"/>
          <w:szCs w:val="32"/>
        </w:rPr>
        <w:t>%</w:t>
      </w:r>
      <w:r>
        <w:rPr>
          <w:rFonts w:hint="eastAsia" w:ascii="仿宋" w:hAnsi="仿宋" w:eastAsia="仿宋"/>
          <w:color w:val="000000"/>
          <w:sz w:val="32"/>
          <w:szCs w:val="32"/>
        </w:rPr>
        <w:t>。主要变动原因是增加项目经费农民工工资6000万元。</w:t>
      </w:r>
    </w:p>
    <w:p>
      <w:pPr>
        <w:rPr>
          <w:rFonts w:ascii="仿宋" w:hAnsi="仿宋" w:eastAsia="仿宋"/>
          <w:color w:val="000000"/>
          <w:sz w:val="32"/>
          <w:szCs w:val="32"/>
        </w:rPr>
      </w:pPr>
      <w:r>
        <w:rPr>
          <w:rFonts w:ascii="仿宋" w:hAnsi="仿宋" w:eastAsia="仿宋"/>
          <w:color w:val="000000"/>
          <w:sz w:val="32"/>
          <w:szCs w:val="32"/>
        </w:rPr>
        <w:drawing>
          <wp:inline distT="0" distB="0" distL="0" distR="0">
            <wp:extent cx="5076825" cy="2552700"/>
            <wp:effectExtent l="19050" t="19050" r="28575" b="19050"/>
            <wp:docPr id="10"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true" noChangeArrowheads="true"/>
                    </pic:cNvPicPr>
                  </pic:nvPicPr>
                  <pic:blipFill>
                    <a:blip r:embed="rId6"/>
                    <a:srcRect/>
                    <a:stretch>
                      <a:fillRect/>
                    </a:stretch>
                  </pic:blipFill>
                  <pic:spPr>
                    <a:xfrm>
                      <a:off x="0" y="0"/>
                      <a:ext cx="5076825" cy="2552700"/>
                    </a:xfrm>
                    <a:prstGeom prst="rect">
                      <a:avLst/>
                    </a:prstGeom>
                    <a:noFill/>
                    <a:ln w="3175">
                      <a:solidFill>
                        <a:schemeClr val="tx1"/>
                      </a:solidFill>
                      <a:miter lim="800000"/>
                      <a:headEnd/>
                      <a:tailEnd/>
                    </a:ln>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8年本年收入合计7656.41万元，其中：一般公共预算财政拨款收入2522.74万元，占32.95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；政府性基金预算财政拨款收入5080.00万元，占66.35</w:t>
      </w:r>
      <w:r>
        <w:rPr>
          <w:rFonts w:ascii="仿宋" w:hAnsi="仿宋" w:eastAsia="仿宋"/>
          <w:color w:val="000000"/>
          <w:sz w:val="32"/>
          <w:szCs w:val="32"/>
        </w:rPr>
        <w:t>%</w:t>
      </w:r>
      <w:r>
        <w:rPr>
          <w:rFonts w:hint="eastAsia" w:ascii="仿宋" w:hAnsi="仿宋" w:eastAsia="仿宋"/>
          <w:color w:val="000000"/>
          <w:sz w:val="32"/>
          <w:szCs w:val="32"/>
        </w:rPr>
        <w:t>；其他收入53.67万元，占0.7</w:t>
      </w:r>
      <w:r>
        <w:rPr>
          <w:rFonts w:ascii="仿宋" w:hAnsi="仿宋" w:eastAsia="仿宋"/>
          <w:color w:val="000000"/>
          <w:sz w:val="32"/>
          <w:szCs w:val="32"/>
        </w:rPr>
        <w:t>%</w:t>
      </w:r>
      <w:r>
        <w:rPr>
          <w:rFonts w:hint="eastAsia" w:ascii="仿宋" w:hAnsi="仿宋" w:eastAsia="仿宋"/>
          <w:color w:val="000000"/>
          <w:sz w:val="32"/>
          <w:szCs w:val="32"/>
        </w:rPr>
        <w:t>。</w:t>
      </w:r>
    </w:p>
    <w:p>
      <w:pPr>
        <w:jc w:val="center"/>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3171825" cy="1952625"/>
            <wp:effectExtent l="19050" t="19050" r="28575" b="28575"/>
            <wp:docPr id="25" name="图片 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true" noChangeArrowheads="true"/>
                    </pic:cNvPicPr>
                  </pic:nvPicPr>
                  <pic:blipFill>
                    <a:blip r:embed="rId7"/>
                    <a:srcRect/>
                    <a:stretch>
                      <a:fillRect/>
                    </a:stretch>
                  </pic:blipFill>
                  <pic:spPr>
                    <a:xfrm>
                      <a:off x="0" y="0"/>
                      <a:ext cx="3171825" cy="1952625"/>
                    </a:xfrm>
                    <a:prstGeom prst="rect">
                      <a:avLst/>
                    </a:prstGeom>
                    <a:noFill/>
                    <a:ln w="3175">
                      <a:solidFill>
                        <a:schemeClr val="tx1"/>
                      </a:solidFill>
                      <a:miter lim="800000"/>
                      <a:headEnd/>
                      <a:tailEnd/>
                    </a:ln>
                  </pic:spPr>
                </pic:pic>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8年本年支出合计7446.72万元，其中：基本支出1022.15万元，占13.73</w:t>
      </w:r>
      <w:r>
        <w:rPr>
          <w:rFonts w:ascii="仿宋" w:hAnsi="仿宋" w:eastAsia="仿宋"/>
          <w:color w:val="000000"/>
          <w:sz w:val="32"/>
          <w:szCs w:val="32"/>
        </w:rPr>
        <w:t>%</w:t>
      </w:r>
      <w:r>
        <w:rPr>
          <w:rFonts w:hint="eastAsia" w:ascii="仿宋" w:hAnsi="仿宋" w:eastAsia="仿宋"/>
          <w:color w:val="000000"/>
          <w:sz w:val="32"/>
          <w:szCs w:val="32"/>
        </w:rPr>
        <w:t>；项目支出6424.57万元，占86.27</w:t>
      </w:r>
      <w:r>
        <w:rPr>
          <w:rFonts w:ascii="仿宋" w:hAnsi="仿宋" w:eastAsia="仿宋"/>
          <w:color w:val="000000"/>
          <w:sz w:val="32"/>
          <w:szCs w:val="32"/>
        </w:rPr>
        <w:t>%</w:t>
      </w:r>
      <w:r>
        <w:rPr>
          <w:rFonts w:hint="eastAsia" w:ascii="仿宋" w:hAnsi="仿宋" w:eastAsia="仿宋"/>
          <w:color w:val="000000"/>
          <w:sz w:val="32"/>
          <w:szCs w:val="32"/>
        </w:rPr>
        <w:t>。</w:t>
      </w:r>
    </w:p>
    <w:p>
      <w:pPr>
        <w:jc w:val="center"/>
        <w:rPr>
          <w:rFonts w:ascii="仿宋" w:hAnsi="仿宋" w:eastAsia="仿宋"/>
          <w:color w:val="000000" w:themeColor="text1"/>
          <w:sz w:val="32"/>
          <w:szCs w:val="32"/>
        </w:rPr>
      </w:pPr>
      <w:r>
        <w:rPr>
          <w:rFonts w:ascii="仿宋" w:hAnsi="仿宋" w:eastAsia="仿宋"/>
          <w:color w:val="000000" w:themeColor="text1"/>
          <w:sz w:val="32"/>
          <w:szCs w:val="32"/>
        </w:rPr>
        <w:drawing>
          <wp:inline distT="0" distB="0" distL="0" distR="0">
            <wp:extent cx="4000500" cy="2228850"/>
            <wp:effectExtent l="19050" t="19050" r="19050" b="19050"/>
            <wp:docPr id="28" name="图片 2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true" noChangeArrowheads="true"/>
                    </pic:cNvPicPr>
                  </pic:nvPicPr>
                  <pic:blipFill>
                    <a:blip r:embed="rId8"/>
                    <a:srcRect/>
                    <a:stretch>
                      <a:fillRect/>
                    </a:stretch>
                  </pic:blipFill>
                  <pic:spPr>
                    <a:xfrm>
                      <a:off x="0" y="0"/>
                      <a:ext cx="4000500" cy="2228850"/>
                    </a:xfrm>
                    <a:prstGeom prst="rect">
                      <a:avLst/>
                    </a:prstGeom>
                    <a:noFill/>
                    <a:ln w="3175">
                      <a:solidFill>
                        <a:schemeClr val="tx1"/>
                      </a:solidFill>
                      <a:miter lim="800000"/>
                      <a:headEnd/>
                      <a:tailEnd/>
                    </a:ln>
                  </pic:spPr>
                </pic:pic>
              </a:graphicData>
            </a:graphic>
          </wp:inline>
        </w:drawing>
      </w: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8年财政拨款收、支总计7602.74万元。与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7年相比，财政拨款收、支总计各增加6151.19万元，增长423.77</w:t>
      </w:r>
      <w:r>
        <w:rPr>
          <w:rFonts w:ascii="仿宋" w:hAnsi="仿宋" w:eastAsia="仿宋"/>
          <w:color w:val="000000"/>
          <w:sz w:val="32"/>
          <w:szCs w:val="32"/>
        </w:rPr>
        <w:t>%</w:t>
      </w:r>
      <w:r>
        <w:rPr>
          <w:rFonts w:hint="eastAsia" w:ascii="仿宋" w:hAnsi="仿宋" w:eastAsia="仿宋"/>
          <w:color w:val="000000"/>
          <w:sz w:val="32"/>
          <w:szCs w:val="32"/>
        </w:rPr>
        <w:t>。主要变动原因是增加项目经费农民工工资6000万元。</w:t>
      </w:r>
    </w:p>
    <w:p>
      <w:pPr>
        <w:jc w:val="center"/>
        <w:rPr>
          <w:rFonts w:ascii="仿宋" w:hAnsi="仿宋" w:eastAsia="仿宋"/>
          <w:color w:val="000000"/>
          <w:sz w:val="32"/>
          <w:szCs w:val="32"/>
        </w:rPr>
      </w:pPr>
      <w:r>
        <w:rPr>
          <w:rFonts w:ascii="仿宋" w:hAnsi="仿宋" w:eastAsia="仿宋"/>
          <w:color w:val="000000"/>
          <w:sz w:val="32"/>
          <w:szCs w:val="32"/>
        </w:rPr>
        <w:drawing>
          <wp:inline distT="0" distB="0" distL="0" distR="0">
            <wp:extent cx="5076825" cy="2466975"/>
            <wp:effectExtent l="19050" t="19050" r="28575" b="28575"/>
            <wp:docPr id="7"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true" noChangeArrowheads="true"/>
                    </pic:cNvPicPr>
                  </pic:nvPicPr>
                  <pic:blipFill>
                    <a:blip r:embed="rId9"/>
                    <a:srcRect/>
                    <a:stretch>
                      <a:fillRect/>
                    </a:stretch>
                  </pic:blipFill>
                  <pic:spPr>
                    <a:xfrm>
                      <a:off x="0" y="0"/>
                      <a:ext cx="5076825" cy="2466975"/>
                    </a:xfrm>
                    <a:prstGeom prst="rect">
                      <a:avLst/>
                    </a:prstGeom>
                    <a:noFill/>
                    <a:ln w="3175">
                      <a:solidFill>
                        <a:schemeClr val="tx1"/>
                      </a:solidFill>
                      <a:miter lim="800000"/>
                      <a:headEnd/>
                      <a:tailEnd/>
                    </a:ln>
                  </pic:spPr>
                </pic:pic>
              </a:graphicData>
            </a:graphic>
          </wp:inline>
        </w:drawing>
      </w: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8年一般公共预算财政拨款支出2363.73万元，占本年支出合计的31.74</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7年相比，一般公共预算财政拨款增加996.73万元，增长72.91</w:t>
      </w:r>
      <w:r>
        <w:rPr>
          <w:rFonts w:ascii="仿宋" w:hAnsi="仿宋" w:eastAsia="仿宋"/>
          <w:color w:val="000000"/>
          <w:sz w:val="32"/>
          <w:szCs w:val="32"/>
        </w:rPr>
        <w:t>%</w:t>
      </w:r>
      <w:r>
        <w:rPr>
          <w:rFonts w:hint="eastAsia" w:ascii="仿宋" w:hAnsi="仿宋" w:eastAsia="仿宋"/>
          <w:color w:val="000000"/>
          <w:sz w:val="32"/>
          <w:szCs w:val="32"/>
        </w:rPr>
        <w:t>，主要变动原因是增加项目经费农民工工资920万元。</w:t>
      </w:r>
    </w:p>
    <w:p>
      <w:pPr>
        <w:rPr>
          <w:rFonts w:ascii="仿宋" w:hAnsi="仿宋" w:eastAsia="仿宋"/>
          <w:color w:val="000000" w:themeColor="text1"/>
          <w:sz w:val="32"/>
          <w:szCs w:val="32"/>
        </w:rPr>
      </w:pPr>
      <w:r>
        <w:rPr>
          <w:rFonts w:hint="eastAsia" w:ascii="仿宋" w:hAnsi="仿宋" w:eastAsia="仿宋"/>
          <w:color w:val="000000" w:themeColor="text1"/>
          <w:sz w:val="32"/>
          <w:szCs w:val="32"/>
        </w:rPr>
        <w:drawing>
          <wp:inline distT="0" distB="0" distL="0" distR="0">
            <wp:extent cx="5164455" cy="2638425"/>
            <wp:effectExtent l="19050" t="19050" r="17023" b="28575"/>
            <wp:docPr id="37" name="图片 3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true" noChangeArrowheads="true"/>
                    </pic:cNvPicPr>
                  </pic:nvPicPr>
                  <pic:blipFill>
                    <a:blip r:embed="rId10"/>
                    <a:srcRect/>
                    <a:stretch>
                      <a:fillRect/>
                    </a:stretch>
                  </pic:blipFill>
                  <pic:spPr>
                    <a:xfrm>
                      <a:off x="0" y="0"/>
                      <a:ext cx="5164577" cy="2638425"/>
                    </a:xfrm>
                    <a:prstGeom prst="rect">
                      <a:avLst/>
                    </a:prstGeom>
                    <a:noFill/>
                    <a:ln w="3175">
                      <a:solidFill>
                        <a:schemeClr val="tx1"/>
                      </a:solidFill>
                      <a:miter lim="800000"/>
                      <a:headEnd/>
                      <a:tailEnd/>
                    </a:ln>
                  </pic:spPr>
                </pic:pic>
              </a:graphicData>
            </a:graphic>
          </wp:inline>
        </w:drawing>
      </w:r>
    </w:p>
    <w:p>
      <w:pPr>
        <w:spacing w:line="600" w:lineRule="exact"/>
        <w:ind w:firstLine="642"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政拨款支出2363.73万元，主要用于以下方面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支出2.4万元，占0.1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支出73.03万元，占3.09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医疗卫生与计划生育（类）</w:t>
      </w:r>
      <w:r>
        <w:rPr>
          <w:rFonts w:hint="eastAsia" w:ascii="仿宋" w:hAnsi="仿宋" w:eastAsia="仿宋"/>
          <w:color w:val="000000" w:themeColor="text1"/>
          <w:sz w:val="32"/>
          <w:szCs w:val="32"/>
        </w:rPr>
        <w:t>支出17.94万元，占0.76</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农林水支出（类）</w:t>
      </w:r>
      <w:r>
        <w:rPr>
          <w:rFonts w:hint="eastAsia" w:ascii="仿宋" w:hAnsi="仿宋" w:eastAsia="仿宋"/>
          <w:color w:val="000000" w:themeColor="text1"/>
          <w:sz w:val="32"/>
          <w:szCs w:val="32"/>
        </w:rPr>
        <w:t>支出30万元，占1.27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资源勘探信息等支出（类）</w:t>
      </w:r>
      <w:r>
        <w:rPr>
          <w:rFonts w:hint="eastAsia" w:ascii="仿宋" w:hAnsi="仿宋" w:eastAsia="仿宋"/>
          <w:color w:val="000000" w:themeColor="text1"/>
          <w:sz w:val="32"/>
          <w:szCs w:val="32"/>
        </w:rPr>
        <w:t>支出1240.89万元，占52.5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住房保障（类）</w:t>
      </w:r>
      <w:r>
        <w:rPr>
          <w:rFonts w:hint="eastAsia" w:ascii="仿宋" w:hAnsi="仿宋" w:eastAsia="仿宋"/>
          <w:color w:val="000000" w:themeColor="text1"/>
          <w:sz w:val="32"/>
          <w:szCs w:val="32"/>
        </w:rPr>
        <w:t>支出989.48万元，占42.28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jc w:val="center"/>
        <w:rPr>
          <w:rFonts w:ascii="仿宋" w:hAnsi="仿宋" w:eastAsia="仿宋"/>
          <w:color w:val="000000"/>
          <w:sz w:val="32"/>
          <w:szCs w:val="32"/>
        </w:rPr>
      </w:pPr>
      <w:r>
        <w:rPr>
          <w:rFonts w:ascii="仿宋" w:hAnsi="仿宋" w:eastAsia="仿宋"/>
          <w:color w:val="000000"/>
          <w:sz w:val="32"/>
          <w:szCs w:val="32"/>
        </w:rPr>
        <w:drawing>
          <wp:inline distT="0" distB="0" distL="0" distR="0">
            <wp:extent cx="4629150" cy="2600325"/>
            <wp:effectExtent l="19050" t="19050" r="19050" b="28575"/>
            <wp:docPr id="40" name="图片 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true" noChangeArrowheads="true"/>
                    </pic:cNvPicPr>
                  </pic:nvPicPr>
                  <pic:blipFill>
                    <a:blip r:embed="rId11"/>
                    <a:srcRect r="1818"/>
                    <a:stretch>
                      <a:fillRect/>
                    </a:stretch>
                  </pic:blipFill>
                  <pic:spPr>
                    <a:xfrm>
                      <a:off x="0" y="0"/>
                      <a:ext cx="4629150" cy="2600325"/>
                    </a:xfrm>
                    <a:prstGeom prst="rect">
                      <a:avLst/>
                    </a:prstGeom>
                    <a:noFill/>
                    <a:ln w="3175">
                      <a:solidFill>
                        <a:schemeClr val="tx1"/>
                      </a:solidFill>
                      <a:miter lim="800000"/>
                      <a:headEnd/>
                      <a:tailEnd/>
                    </a:ln>
                  </pic:spPr>
                </pic:pic>
              </a:graphicData>
            </a:graphic>
          </wp:inline>
        </w:drawing>
      </w:r>
    </w:p>
    <w:p>
      <w:pPr>
        <w:spacing w:line="600" w:lineRule="exact"/>
        <w:ind w:firstLine="642"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2"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2018年一般公共预算支出决算数为2363.73万元</w:t>
      </w:r>
      <w:r>
        <w:rPr>
          <w:rFonts w:hint="eastAsia" w:ascii="仿宋" w:hAnsi="仿宋" w:eastAsia="仿宋"/>
          <w:color w:val="000000" w:themeColor="text1"/>
          <w:sz w:val="32"/>
          <w:szCs w:val="32"/>
        </w:rPr>
        <w:t>，</w:t>
      </w:r>
      <w:r>
        <w:rPr>
          <w:rStyle w:val="15"/>
          <w:rFonts w:hint="eastAsia" w:ascii="仿宋" w:hAnsi="仿宋" w:eastAsia="仿宋"/>
          <w:bCs/>
          <w:color w:val="000000" w:themeColor="text1"/>
          <w:sz w:val="32"/>
          <w:szCs w:val="32"/>
        </w:rPr>
        <w:t>完成</w:t>
      </w:r>
      <w:r>
        <w:rPr>
          <w:rFonts w:hint="eastAsia" w:ascii="仿宋" w:hAnsi="仿宋" w:eastAsia="仿宋"/>
          <w:b/>
          <w:color w:val="000000" w:themeColor="text1"/>
          <w:sz w:val="32"/>
          <w:szCs w:val="32"/>
        </w:rPr>
        <w:t>预算93.7</w:t>
      </w:r>
      <w:r>
        <w:rPr>
          <w:rFonts w:ascii="仿宋" w:hAnsi="仿宋" w:eastAsia="仿宋"/>
          <w:b/>
          <w:color w:val="000000" w:themeColor="text1"/>
          <w:sz w:val="32"/>
          <w:szCs w:val="32"/>
        </w:rPr>
        <w:t>%</w:t>
      </w:r>
      <w:r>
        <w:rPr>
          <w:rFonts w:hint="eastAsia" w:ascii="仿宋" w:hAnsi="仿宋" w:eastAsia="仿宋"/>
          <w:b/>
          <w:color w:val="000000" w:themeColor="text1"/>
          <w:sz w:val="32"/>
          <w:szCs w:val="32"/>
        </w:rPr>
        <w:t>。</w:t>
      </w:r>
      <w:r>
        <w:rPr>
          <w:rStyle w:val="15"/>
          <w:rFonts w:hint="eastAsia" w:ascii="仿宋" w:hAnsi="仿宋" w:eastAsia="仿宋"/>
          <w:bCs/>
          <w:color w:val="000000"/>
          <w:sz w:val="32"/>
          <w:szCs w:val="32"/>
        </w:rPr>
        <w:t>其中：</w:t>
      </w:r>
      <w:bookmarkEnd w:id="37"/>
      <w:bookmarkEnd w:id="38"/>
      <w:bookmarkEnd w:id="39"/>
    </w:p>
    <w:p>
      <w:pPr>
        <w:ind w:firstLine="629" w:firstLineChars="196"/>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w:t>
      </w:r>
      <w:r>
        <w:rPr>
          <w:rStyle w:val="15"/>
          <w:rFonts w:hint="eastAsia" w:ascii="仿宋" w:hAnsi="仿宋" w:eastAsia="仿宋"/>
          <w:bCs/>
          <w:sz w:val="32"/>
          <w:szCs w:val="32"/>
        </w:rPr>
        <w:t>政府办公厅（室）及相关机构事务</w:t>
      </w:r>
      <w:r>
        <w:rPr>
          <w:rStyle w:val="15"/>
          <w:rFonts w:hint="eastAsia" w:ascii="仿宋" w:hAnsi="仿宋" w:eastAsia="仿宋"/>
          <w:bCs/>
          <w:color w:val="000000"/>
          <w:sz w:val="32"/>
          <w:szCs w:val="32"/>
        </w:rPr>
        <w:t>（款）其他政府办公厅（室）及相关机构事务支出（项）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ind w:firstLine="629" w:firstLineChars="196"/>
        <w:rPr>
          <w:rFonts w:ascii="仿宋" w:hAnsi="仿宋" w:eastAsia="仿宋"/>
          <w:b/>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w:t>
      </w:r>
      <w:r>
        <w:rPr>
          <w:rStyle w:val="15"/>
          <w:rFonts w:hint="eastAsia" w:ascii="仿宋" w:hAnsi="仿宋" w:eastAsia="仿宋"/>
          <w:bCs/>
          <w:sz w:val="32"/>
          <w:szCs w:val="32"/>
        </w:rPr>
        <w:t>行政事业单位离退休</w:t>
      </w:r>
      <w:r>
        <w:rPr>
          <w:rStyle w:val="15"/>
          <w:rFonts w:hint="eastAsia" w:ascii="仿宋" w:hAnsi="仿宋" w:eastAsia="仿宋"/>
          <w:bCs/>
          <w:color w:val="000000"/>
          <w:sz w:val="32"/>
          <w:szCs w:val="32"/>
        </w:rPr>
        <w:t>（款）</w:t>
      </w:r>
      <w:r>
        <w:rPr>
          <w:rStyle w:val="15"/>
          <w:rFonts w:hint="eastAsia" w:ascii="仿宋" w:hAnsi="仿宋" w:eastAsia="仿宋"/>
          <w:bCs/>
          <w:sz w:val="32"/>
          <w:szCs w:val="32"/>
        </w:rPr>
        <w:t>机关事业单位基本养老保险缴费支出</w:t>
      </w:r>
      <w:r>
        <w:rPr>
          <w:rStyle w:val="15"/>
          <w:rFonts w:hint="eastAsia" w:ascii="仿宋" w:hAnsi="仿宋" w:eastAsia="仿宋"/>
          <w:bCs/>
          <w:color w:val="000000"/>
          <w:sz w:val="32"/>
          <w:szCs w:val="32"/>
        </w:rPr>
        <w:t>（项）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支出决算为73.03万元，完成预算100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支出决算为15.59万元，完成预算100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4.医疗卫生与计划生育（类）行政事业单位医疗（款）事业单位医疗（项）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支出决算为12.35万元，完成预算100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2" w:firstLineChars="200"/>
        <w:rPr>
          <w:rStyle w:val="15"/>
          <w:rFonts w:ascii="仿宋" w:hAnsi="仿宋" w:eastAsia="仿宋"/>
          <w:b w:val="0"/>
          <w:bCs/>
          <w:color w:val="000000"/>
          <w:sz w:val="32"/>
          <w:szCs w:val="32"/>
        </w:rPr>
      </w:pPr>
      <w:r>
        <w:rPr>
          <w:rFonts w:hint="eastAsia" w:ascii="仿宋" w:hAnsi="仿宋" w:eastAsia="仿宋"/>
          <w:b/>
          <w:color w:val="000000" w:themeColor="text1"/>
          <w:sz w:val="32"/>
          <w:szCs w:val="32"/>
        </w:rPr>
        <w:t>5.农林水支出（类）农林水支出（款）农业（项）：</w:t>
      </w:r>
      <w:r>
        <w:rPr>
          <w:rStyle w:val="15"/>
          <w:rFonts w:hint="eastAsia" w:ascii="仿宋" w:hAnsi="仿宋" w:eastAsia="仿宋"/>
          <w:b w:val="0"/>
          <w:bCs/>
          <w:color w:val="000000"/>
          <w:sz w:val="32"/>
          <w:szCs w:val="32"/>
        </w:rPr>
        <w:t>支出决算数为30万元，完成预算100%。</w:t>
      </w:r>
    </w:p>
    <w:p>
      <w:pPr>
        <w:spacing w:line="600" w:lineRule="exact"/>
        <w:ind w:firstLine="642" w:firstLineChars="200"/>
        <w:rPr>
          <w:rStyle w:val="15"/>
          <w:rFonts w:ascii="仿宋" w:hAnsi="仿宋" w:eastAsia="仿宋"/>
          <w:b w:val="0"/>
          <w:bCs/>
          <w:color w:val="000000"/>
          <w:sz w:val="32"/>
          <w:szCs w:val="32"/>
        </w:rPr>
      </w:pPr>
      <w:r>
        <w:rPr>
          <w:rFonts w:hint="eastAsia" w:ascii="仿宋" w:hAnsi="仿宋" w:eastAsia="仿宋"/>
          <w:b/>
          <w:color w:val="000000" w:themeColor="text1"/>
          <w:sz w:val="32"/>
          <w:szCs w:val="32"/>
        </w:rPr>
        <w:t>6.</w:t>
      </w:r>
      <w:r>
        <w:rPr>
          <w:rFonts w:hint="eastAsia"/>
        </w:rPr>
        <w:t xml:space="preserve"> </w:t>
      </w:r>
      <w:r>
        <w:rPr>
          <w:rFonts w:hint="eastAsia" w:ascii="仿宋" w:hAnsi="仿宋" w:eastAsia="仿宋"/>
          <w:b/>
          <w:color w:val="000000" w:themeColor="text1"/>
          <w:sz w:val="32"/>
          <w:szCs w:val="32"/>
        </w:rPr>
        <w:t>资源勘探信息等支出（类）国有资产监管（款）行政运行（项）：</w:t>
      </w:r>
      <w:r>
        <w:rPr>
          <w:rStyle w:val="15"/>
          <w:rFonts w:hint="eastAsia" w:ascii="仿宋" w:hAnsi="仿宋" w:eastAsia="仿宋"/>
          <w:b w:val="0"/>
          <w:bCs/>
          <w:color w:val="000000"/>
          <w:sz w:val="32"/>
          <w:szCs w:val="32"/>
        </w:rPr>
        <w:t>支出决算数为848.71万元，完成预算100%。</w:t>
      </w:r>
    </w:p>
    <w:p>
      <w:pPr>
        <w:spacing w:line="600" w:lineRule="exact"/>
        <w:ind w:firstLine="642" w:firstLineChars="200"/>
        <w:rPr>
          <w:rStyle w:val="15"/>
          <w:rFonts w:ascii="仿宋" w:hAnsi="仿宋" w:eastAsia="仿宋"/>
          <w:b w:val="0"/>
          <w:bCs/>
          <w:color w:val="000000"/>
          <w:sz w:val="32"/>
          <w:szCs w:val="32"/>
        </w:rPr>
      </w:pPr>
      <w:r>
        <w:rPr>
          <w:rFonts w:hint="eastAsia" w:ascii="仿宋" w:hAnsi="仿宋" w:eastAsia="仿宋"/>
          <w:b/>
          <w:color w:val="000000" w:themeColor="text1"/>
          <w:sz w:val="32"/>
          <w:szCs w:val="32"/>
        </w:rPr>
        <w:t>7.</w:t>
      </w:r>
      <w:r>
        <w:rPr>
          <w:rFonts w:hint="eastAsia"/>
        </w:rPr>
        <w:t xml:space="preserve"> </w:t>
      </w:r>
      <w:r>
        <w:rPr>
          <w:rFonts w:hint="eastAsia" w:ascii="仿宋" w:hAnsi="仿宋" w:eastAsia="仿宋"/>
          <w:b/>
          <w:color w:val="000000" w:themeColor="text1"/>
          <w:sz w:val="32"/>
          <w:szCs w:val="32"/>
        </w:rPr>
        <w:t>资源勘探信息等支出（类）国有资产监管（款）  一般行政管理事务（项）：</w:t>
      </w:r>
      <w:r>
        <w:rPr>
          <w:rStyle w:val="15"/>
          <w:rFonts w:hint="eastAsia" w:ascii="仿宋" w:hAnsi="仿宋" w:eastAsia="仿宋"/>
          <w:b w:val="0"/>
          <w:bCs/>
          <w:color w:val="000000"/>
          <w:sz w:val="32"/>
          <w:szCs w:val="32"/>
        </w:rPr>
        <w:t>支出决算数为340.3万元，完成预算71%,决算数小于预算数的主要原因项目执行期间，经费于次年转拨。</w:t>
      </w:r>
    </w:p>
    <w:p>
      <w:pPr>
        <w:spacing w:line="600" w:lineRule="exact"/>
        <w:ind w:firstLine="642" w:firstLineChars="200"/>
        <w:rPr>
          <w:rStyle w:val="15"/>
          <w:rFonts w:ascii="仿宋" w:hAnsi="仿宋" w:eastAsia="仿宋"/>
          <w:b w:val="0"/>
          <w:bCs/>
          <w:color w:val="000000"/>
          <w:sz w:val="32"/>
          <w:szCs w:val="32"/>
        </w:rPr>
      </w:pPr>
      <w:r>
        <w:rPr>
          <w:rFonts w:hint="eastAsia" w:ascii="仿宋" w:hAnsi="仿宋" w:eastAsia="仿宋"/>
          <w:b/>
          <w:color w:val="000000" w:themeColor="text1"/>
          <w:sz w:val="32"/>
          <w:szCs w:val="32"/>
        </w:rPr>
        <w:t>8.</w:t>
      </w:r>
      <w:r>
        <w:rPr>
          <w:rFonts w:hint="eastAsia"/>
        </w:rPr>
        <w:t xml:space="preserve"> </w:t>
      </w:r>
      <w:r>
        <w:rPr>
          <w:rFonts w:hint="eastAsia" w:ascii="仿宋" w:hAnsi="仿宋" w:eastAsia="仿宋"/>
          <w:b/>
          <w:color w:val="000000" w:themeColor="text1"/>
          <w:sz w:val="32"/>
          <w:szCs w:val="32"/>
        </w:rPr>
        <w:t>资源勘探信息等支出（类）国有资产监管（款）  其他国有资产监管支出（项）：</w:t>
      </w:r>
      <w:r>
        <w:rPr>
          <w:rStyle w:val="15"/>
          <w:rFonts w:hint="eastAsia" w:ascii="仿宋" w:hAnsi="仿宋" w:eastAsia="仿宋"/>
          <w:b w:val="0"/>
          <w:bCs/>
          <w:color w:val="000000"/>
          <w:sz w:val="32"/>
          <w:szCs w:val="32"/>
        </w:rPr>
        <w:t>支出决算数为51.88万元，完成预算100%。</w:t>
      </w:r>
    </w:p>
    <w:p>
      <w:pPr>
        <w:spacing w:line="600" w:lineRule="exact"/>
        <w:ind w:firstLine="642" w:firstLineChars="200"/>
        <w:rPr>
          <w:rStyle w:val="15"/>
          <w:rFonts w:ascii="仿宋" w:hAnsi="仿宋" w:eastAsia="仿宋"/>
          <w:b w:val="0"/>
          <w:bCs/>
          <w:color w:val="000000"/>
          <w:sz w:val="32"/>
          <w:szCs w:val="32"/>
        </w:rPr>
      </w:pPr>
      <w:r>
        <w:rPr>
          <w:rFonts w:hint="eastAsia" w:ascii="仿宋" w:hAnsi="仿宋" w:eastAsia="仿宋"/>
          <w:b/>
          <w:color w:val="000000" w:themeColor="text1"/>
          <w:sz w:val="32"/>
          <w:szCs w:val="32"/>
        </w:rPr>
        <w:t>9.</w:t>
      </w:r>
      <w:r>
        <w:rPr>
          <w:rFonts w:hint="eastAsia"/>
        </w:rPr>
        <w:t xml:space="preserve"> </w:t>
      </w:r>
      <w:r>
        <w:rPr>
          <w:rFonts w:hint="eastAsia" w:ascii="仿宋" w:hAnsi="仿宋" w:eastAsia="仿宋"/>
          <w:b/>
          <w:color w:val="000000" w:themeColor="text1"/>
          <w:sz w:val="32"/>
          <w:szCs w:val="32"/>
        </w:rPr>
        <w:t>住房保障支出（类）保障性安居工程支出（款）公共租赁住房（项）：</w:t>
      </w:r>
      <w:r>
        <w:rPr>
          <w:rStyle w:val="15"/>
          <w:rFonts w:hint="eastAsia" w:ascii="仿宋" w:hAnsi="仿宋" w:eastAsia="仿宋"/>
          <w:b w:val="0"/>
          <w:bCs/>
          <w:color w:val="000000"/>
          <w:sz w:val="32"/>
          <w:szCs w:val="32"/>
        </w:rPr>
        <w:t>支出决算数为920万元，完成预算100%。</w:t>
      </w:r>
    </w:p>
    <w:p>
      <w:pPr>
        <w:spacing w:line="600" w:lineRule="exact"/>
        <w:ind w:firstLine="642" w:firstLineChars="200"/>
      </w:pPr>
      <w:r>
        <w:rPr>
          <w:rFonts w:hint="eastAsia" w:ascii="仿宋" w:hAnsi="仿宋" w:eastAsia="仿宋"/>
          <w:b/>
          <w:color w:val="000000" w:themeColor="text1"/>
          <w:sz w:val="32"/>
          <w:szCs w:val="32"/>
        </w:rPr>
        <w:t>10.</w:t>
      </w:r>
      <w:r>
        <w:rPr>
          <w:rFonts w:hint="eastAsia"/>
        </w:rPr>
        <w:t xml:space="preserve"> </w:t>
      </w:r>
      <w:r>
        <w:rPr>
          <w:rFonts w:hint="eastAsia" w:ascii="仿宋" w:hAnsi="仿宋" w:eastAsia="仿宋"/>
          <w:b/>
          <w:color w:val="000000" w:themeColor="text1"/>
          <w:sz w:val="32"/>
          <w:szCs w:val="32"/>
        </w:rPr>
        <w:t>住房保障支出（类）住房改革支出（款）住房公积金（项）：</w:t>
      </w:r>
      <w:r>
        <w:rPr>
          <w:rStyle w:val="15"/>
          <w:rFonts w:hint="eastAsia" w:ascii="仿宋" w:hAnsi="仿宋" w:eastAsia="仿宋"/>
          <w:b w:val="0"/>
          <w:bCs/>
          <w:color w:val="000000"/>
          <w:sz w:val="32"/>
          <w:szCs w:val="32"/>
        </w:rPr>
        <w:t>支出决算数为61.48万元，完成预算100%。</w:t>
      </w:r>
    </w:p>
    <w:p>
      <w:pPr>
        <w:spacing w:line="600" w:lineRule="exact"/>
        <w:ind w:firstLine="642" w:firstLineChars="200"/>
        <w:rPr>
          <w:rStyle w:val="15"/>
          <w:rFonts w:ascii="仿宋" w:hAnsi="仿宋" w:eastAsia="仿宋"/>
          <w:b w:val="0"/>
          <w:bCs/>
          <w:color w:val="000000"/>
          <w:sz w:val="32"/>
          <w:szCs w:val="32"/>
        </w:rPr>
      </w:pPr>
      <w:r>
        <w:rPr>
          <w:rFonts w:hint="eastAsia" w:ascii="仿宋" w:hAnsi="仿宋" w:eastAsia="仿宋"/>
          <w:b/>
          <w:color w:val="000000" w:themeColor="text1"/>
          <w:sz w:val="32"/>
          <w:szCs w:val="32"/>
        </w:rPr>
        <w:t>11.住房保障支出（类）住房改革支出（款）购房补贴（项）：</w:t>
      </w:r>
      <w:r>
        <w:rPr>
          <w:rStyle w:val="15"/>
          <w:rFonts w:hint="eastAsia" w:ascii="仿宋" w:hAnsi="仿宋" w:eastAsia="仿宋"/>
          <w:b w:val="0"/>
          <w:bCs/>
          <w:color w:val="000000"/>
          <w:sz w:val="32"/>
          <w:szCs w:val="32"/>
        </w:rPr>
        <w:t>支出决算数为8万元，完成预算100%。</w:t>
      </w:r>
    </w:p>
    <w:p>
      <w:pPr>
        <w:tabs>
          <w:tab w:val="right" w:pos="8306"/>
        </w:tabs>
        <w:spacing w:line="600" w:lineRule="exact"/>
        <w:ind w:firstLine="640"/>
        <w:outlineLvl w:val="1"/>
        <w:rPr>
          <w:rStyle w:val="26"/>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8年一般公共预算财政拨款基本支出1019.16万元，其中：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871.26万元，主要包括：基本工资、津贴补贴、奖金、伙食补助费、绩效工资、机关事业单位基本养老保险缴费、基本医疗保险缴费、其他社会保障缴费、住房公积金、其他工资福利支出、生活补助、奖励金、其他对个人和家庭的补助支出。</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147.9万元，主要包括：办公费、印刷费、手续费、水费、电费、邮电费、物业管理费、差旅费、维修（护）费、会议费、培训费、公务接待费、劳务费、工会经费、福利费、公务用车运行维护费、其他交通费、其他商品和服务支出。</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8年“三公”经费财政拨款支出决算为11.24万元，完成预算61.42</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，决算数小于预算数的主要原因是不折不扣落实好国省市压减一般性支出的精神。</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8年“三公”经费财政拨款支出决算中，因公出国（境）费支出决算5.9万元，占52.49</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；公务用车购置及运行维护费支出决算4.43万元，占39.41</w:t>
      </w:r>
      <w:r>
        <w:rPr>
          <w:rFonts w:ascii="仿宋" w:hAnsi="仿宋" w:eastAsia="仿宋"/>
          <w:color w:val="000000"/>
          <w:sz w:val="32"/>
          <w:szCs w:val="32"/>
        </w:rPr>
        <w:t>%</w:t>
      </w:r>
      <w:r>
        <w:rPr>
          <w:rFonts w:hint="eastAsia" w:ascii="仿宋" w:hAnsi="仿宋" w:eastAsia="仿宋"/>
          <w:color w:val="000000"/>
          <w:sz w:val="32"/>
          <w:szCs w:val="32"/>
        </w:rPr>
        <w:t>；公务接待费支出决算0.91万元，占8.1</w:t>
      </w:r>
      <w:r>
        <w:rPr>
          <w:rFonts w:ascii="仿宋" w:hAnsi="仿宋" w:eastAsia="仿宋"/>
          <w:color w:val="000000"/>
          <w:sz w:val="32"/>
          <w:szCs w:val="32"/>
        </w:rPr>
        <w:t>%</w:t>
      </w:r>
      <w:r>
        <w:rPr>
          <w:rFonts w:hint="eastAsia" w:ascii="仿宋" w:hAnsi="仿宋" w:eastAsia="仿宋"/>
          <w:color w:val="000000"/>
          <w:sz w:val="32"/>
          <w:szCs w:val="32"/>
        </w:rPr>
        <w:t>。具体情况如下：</w:t>
      </w:r>
    </w:p>
    <w:p>
      <w:pPr>
        <w:ind w:firstLine="641"/>
        <w:rPr>
          <w:rFonts w:ascii="仿宋" w:hAnsi="仿宋" w:eastAsia="仿宋"/>
          <w:color w:val="000000"/>
          <w:sz w:val="32"/>
          <w:szCs w:val="32"/>
        </w:rPr>
      </w:pPr>
      <w:r>
        <w:rPr>
          <w:rFonts w:ascii="仿宋" w:hAnsi="仿宋" w:eastAsia="仿宋"/>
          <w:color w:val="000000"/>
          <w:sz w:val="32"/>
          <w:szCs w:val="32"/>
        </w:rPr>
        <w:drawing>
          <wp:inline distT="0" distB="0" distL="0" distR="0">
            <wp:extent cx="4343400" cy="2562225"/>
            <wp:effectExtent l="19050" t="19050" r="19050" b="2857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noChangeArrowheads="true"/>
                    </pic:cNvPicPr>
                  </pic:nvPicPr>
                  <pic:blipFill>
                    <a:blip r:embed="rId12"/>
                    <a:srcRect/>
                    <a:stretch>
                      <a:fillRect/>
                    </a:stretch>
                  </pic:blipFill>
                  <pic:spPr>
                    <a:xfrm>
                      <a:off x="0" y="0"/>
                      <a:ext cx="4343400" cy="2562225"/>
                    </a:xfrm>
                    <a:prstGeom prst="rect">
                      <a:avLst/>
                    </a:prstGeom>
                    <a:noFill/>
                    <a:ln w="3175">
                      <a:solidFill>
                        <a:schemeClr val="tx1"/>
                      </a:solidFill>
                      <a:miter lim="800000"/>
                      <a:headEnd/>
                      <a:tailEnd/>
                    </a:ln>
                  </pic:spPr>
                </pic:pic>
              </a:graphicData>
            </a:graphic>
          </wp:inline>
        </w:drawing>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 w:hAnsi="仿宋" w:eastAsia="仿宋"/>
          <w:color w:val="000000"/>
          <w:sz w:val="32"/>
          <w:szCs w:val="32"/>
        </w:rPr>
        <w:t>5.9万元，完成预算100</w:t>
      </w:r>
      <w:r>
        <w:rPr>
          <w:rFonts w:ascii="仿宋" w:hAnsi="仿宋" w:eastAsia="仿宋"/>
          <w:color w:val="000000"/>
          <w:sz w:val="32"/>
          <w:szCs w:val="32"/>
        </w:rPr>
        <w:t>%</w:t>
      </w:r>
      <w:r>
        <w:rPr>
          <w:rFonts w:hint="eastAsia" w:ascii="仿宋" w:hAnsi="仿宋" w:eastAsia="仿宋"/>
          <w:color w:val="000000"/>
          <w:sz w:val="32"/>
          <w:szCs w:val="32"/>
        </w:rPr>
        <w:t>。全年安排因公出国（境）团组1次，出国（境）1人。因公出国（境）支出决算比</w:t>
      </w:r>
      <w:r>
        <w:rPr>
          <w:rFonts w:ascii="仿宋" w:hAnsi="仿宋" w:eastAsia="仿宋"/>
          <w:color w:val="000000"/>
          <w:sz w:val="32"/>
          <w:szCs w:val="32"/>
        </w:rPr>
        <w:t>201</w:t>
      </w:r>
      <w:r>
        <w:rPr>
          <w:rFonts w:hint="eastAsia" w:ascii="仿宋" w:hAnsi="仿宋" w:eastAsia="仿宋"/>
          <w:color w:val="000000"/>
          <w:sz w:val="32"/>
          <w:szCs w:val="32"/>
        </w:rPr>
        <w:t>7年增加5.9万元，增长100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开支内容包括：</w:t>
      </w:r>
      <w:r>
        <w:rPr>
          <w:rFonts w:ascii="仿宋" w:hAnsi="仿宋" w:eastAsia="仿宋"/>
          <w:color w:val="000000"/>
          <w:sz w:val="32"/>
          <w:szCs w:val="32"/>
        </w:rPr>
        <w:t>2018</w:t>
      </w:r>
      <w:r>
        <w:rPr>
          <w:rFonts w:hint="eastAsia" w:ascii="仿宋" w:hAnsi="仿宋" w:eastAsia="仿宋"/>
          <w:color w:val="000000"/>
          <w:sz w:val="32"/>
          <w:szCs w:val="32"/>
        </w:rPr>
        <w:t>年8月24日至9月</w:t>
      </w:r>
      <w:r>
        <w:rPr>
          <w:rFonts w:ascii="仿宋" w:hAnsi="仿宋" w:eastAsia="仿宋"/>
          <w:color w:val="000000"/>
          <w:sz w:val="32"/>
          <w:szCs w:val="32"/>
        </w:rPr>
        <w:t>1</w:t>
      </w:r>
      <w:r>
        <w:rPr>
          <w:rFonts w:hint="eastAsia" w:ascii="仿宋" w:hAnsi="仿宋" w:eastAsia="仿宋"/>
          <w:color w:val="000000"/>
          <w:sz w:val="32"/>
          <w:szCs w:val="32"/>
        </w:rPr>
        <w:t>日，为赴美国、墨西哥开展投资促进活动，经四川省人民政府批准 (出国任务批件号：川府办外[2018]1772号)，广元市委外事工作领导小组组织相关单位6人，出国开展为期9天投促活动。</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 w:hAnsi="仿宋" w:eastAsia="仿宋"/>
          <w:color w:val="000000"/>
          <w:sz w:val="32"/>
          <w:szCs w:val="32"/>
        </w:rPr>
        <w:t>4.43万元,完成预算36.92</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w:t>
      </w:r>
      <w:r>
        <w:rPr>
          <w:rFonts w:hint="eastAsia" w:ascii="仿宋" w:hAnsi="仿宋" w:eastAsia="仿宋"/>
          <w:color w:val="000000"/>
          <w:sz w:val="32"/>
          <w:szCs w:val="32"/>
        </w:rPr>
        <w:t>7年减少5.9万元，下降57.12</w:t>
      </w:r>
      <w:r>
        <w:rPr>
          <w:rFonts w:ascii="仿宋" w:hAnsi="仿宋" w:eastAsia="仿宋"/>
          <w:color w:val="000000"/>
          <w:sz w:val="32"/>
          <w:szCs w:val="32"/>
        </w:rPr>
        <w:t>%</w:t>
      </w:r>
      <w:r>
        <w:rPr>
          <w:rFonts w:hint="eastAsia" w:ascii="仿宋" w:hAnsi="仿宋" w:eastAsia="仿宋"/>
          <w:color w:val="000000"/>
          <w:sz w:val="32"/>
          <w:szCs w:val="32"/>
        </w:rPr>
        <w:t>。主要原因是公务车辆减少。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w:t>
      </w:r>
      <w:r>
        <w:rPr>
          <w:rFonts w:hint="eastAsia" w:ascii="仿宋_GB2312" w:eastAsia="仿宋_GB2312"/>
          <w:b/>
          <w:color w:val="000000"/>
          <w:sz w:val="32"/>
          <w:szCs w:val="32"/>
        </w:rPr>
        <w:t>公务用车购置支出</w:t>
      </w:r>
      <w:r>
        <w:rPr>
          <w:rFonts w:hint="eastAsia" w:ascii="仿宋" w:hAnsi="仿宋" w:eastAsia="仿宋"/>
          <w:color w:val="000000"/>
          <w:sz w:val="32"/>
          <w:szCs w:val="32"/>
        </w:rPr>
        <w:t>0万元。全年按规定更新购置公务用车0辆。截至</w:t>
      </w:r>
      <w:r>
        <w:rPr>
          <w:rFonts w:ascii="仿宋" w:hAnsi="仿宋" w:eastAsia="仿宋"/>
          <w:color w:val="000000"/>
          <w:sz w:val="32"/>
          <w:szCs w:val="32"/>
        </w:rPr>
        <w:t>201</w:t>
      </w:r>
      <w:r>
        <w:rPr>
          <w:rFonts w:hint="eastAsia" w:ascii="仿宋" w:hAnsi="仿宋" w:eastAsia="仿宋"/>
          <w:color w:val="000000"/>
          <w:sz w:val="32"/>
          <w:szCs w:val="32"/>
        </w:rPr>
        <w:t>8年</w:t>
      </w:r>
      <w:r>
        <w:rPr>
          <w:rFonts w:ascii="仿宋" w:hAnsi="仿宋" w:eastAsia="仿宋"/>
          <w:color w:val="000000"/>
          <w:sz w:val="32"/>
          <w:szCs w:val="32"/>
        </w:rPr>
        <w:t>12</w:t>
      </w:r>
      <w:r>
        <w:rPr>
          <w:rFonts w:hint="eastAsia" w:ascii="仿宋" w:hAnsi="仿宋" w:eastAsia="仿宋"/>
          <w:color w:val="000000"/>
          <w:sz w:val="32"/>
          <w:szCs w:val="32"/>
        </w:rPr>
        <w:t>月底，单位共有公务用车1辆，其中：轿车0辆、越野车1辆。</w:t>
      </w:r>
    </w:p>
    <w:p>
      <w:pPr>
        <w:spacing w:line="600" w:lineRule="exact"/>
        <w:ind w:firstLine="640"/>
        <w:rPr>
          <w:rFonts w:ascii="仿宋" w:hAnsi="仿宋" w:eastAsia="仿宋"/>
          <w:color w:val="000000"/>
          <w:sz w:val="32"/>
          <w:szCs w:val="32"/>
        </w:rPr>
      </w:pPr>
      <w:r>
        <w:rPr>
          <w:rFonts w:hint="eastAsia" w:ascii="仿宋_GB2312" w:eastAsia="仿宋_GB2312"/>
          <w:b/>
          <w:color w:val="000000"/>
          <w:sz w:val="32"/>
          <w:szCs w:val="32"/>
        </w:rPr>
        <w:t>公务用车运行维护费支出</w:t>
      </w:r>
      <w:r>
        <w:rPr>
          <w:rFonts w:hint="eastAsia" w:ascii="仿宋" w:hAnsi="仿宋" w:eastAsia="仿宋"/>
          <w:color w:val="000000"/>
          <w:sz w:val="32"/>
          <w:szCs w:val="32"/>
        </w:rPr>
        <w:t>4.43万元。主要用于资产管理指导等日常工作所需的公务用车燃料费、维修费、过路过桥费、保险费等支出。</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 w:hAnsi="仿宋" w:eastAsia="仿宋"/>
          <w:color w:val="000000"/>
          <w:sz w:val="32"/>
          <w:szCs w:val="32"/>
        </w:rPr>
        <w:t>0.91万元，完成预算约14.4</w:t>
      </w:r>
      <w:r>
        <w:rPr>
          <w:rFonts w:ascii="仿宋" w:hAnsi="仿宋" w:eastAsia="仿宋"/>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w:t>
      </w:r>
      <w:r>
        <w:rPr>
          <w:rFonts w:hint="eastAsia" w:ascii="仿宋" w:hAnsi="仿宋" w:eastAsia="仿宋"/>
          <w:color w:val="000000"/>
          <w:sz w:val="32"/>
          <w:szCs w:val="32"/>
        </w:rPr>
        <w:t>7年减少0.22万元，下降19.47</w:t>
      </w:r>
      <w:r>
        <w:rPr>
          <w:rFonts w:ascii="仿宋" w:hAnsi="仿宋" w:eastAsia="仿宋"/>
          <w:color w:val="000000"/>
          <w:sz w:val="32"/>
          <w:szCs w:val="32"/>
        </w:rPr>
        <w:t>%</w:t>
      </w:r>
      <w:r>
        <w:rPr>
          <w:rFonts w:hint="eastAsia" w:ascii="仿宋" w:hAnsi="仿宋" w:eastAsia="仿宋"/>
          <w:color w:val="000000"/>
          <w:sz w:val="32"/>
          <w:szCs w:val="32"/>
        </w:rPr>
        <w:t>。主要原因是不折不扣落实好国省市压减一般性支出的精神。。</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主要用于执行公务、开展业务活动开支的交通费、住宿费、用餐费等。国内公务接待9批次，86人次（不包括陪同人员），共计支出0.91万元，具体内容包括：（1）巴中国资委考察学习接待费0.12万元；（2）全省政务信息会对口接待费0.06万元；（3）长虹集团考察接待费0.31万元；（4）中信外包服务公司考察接待费0.15万元；（5）剑阁县、苍溪县国资局、苍溪城投公司交流考察国有资产管理工作3次接待费共0.175万元；（6）剑阁县茶垭村、文林村考察蔬菜种植及销售2次接待费共0.095万元。其中：</w:t>
      </w:r>
    </w:p>
    <w:p>
      <w:pPr>
        <w:spacing w:line="600" w:lineRule="exact"/>
        <w:ind w:firstLine="642" w:firstLineChars="200"/>
        <w:rPr>
          <w:rFonts w:ascii="仿宋" w:hAnsi="仿宋" w:eastAsia="仿宋"/>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0万元，外事接待0批次。</w:t>
      </w:r>
    </w:p>
    <w:p>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0.91万元。主要用于执行公务、开展业务活动开支的交通费、住宿费、用餐费等。</w:t>
      </w:r>
    </w:p>
    <w:p>
      <w:pPr>
        <w:spacing w:line="600" w:lineRule="exact"/>
        <w:ind w:firstLine="640"/>
        <w:outlineLvl w:val="1"/>
        <w:rPr>
          <w:rStyle w:val="26"/>
          <w:rFonts w:ascii="黑体" w:hAnsi="黑体" w:eastAsia="黑体"/>
        </w:rPr>
      </w:pPr>
      <w:bookmarkStart w:id="46" w:name="_Toc15396610"/>
      <w:bookmarkStart w:id="47" w:name="_Toc15377218"/>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8年政府性基金预算拨款支出5080万元。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根据预算绩效管理要求，我委在年初预算编制阶段，对13个项目编制了绩效目标，预算执行过程中，选取5个项目开展绩效监控，年终执行完毕后，对5个项目开展了绩效目标完成情况梳理填报。</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我委按要求对2018年部门整体支出开展绩效自评，从评价情况来看2018年我委严格执行预算法，认真落实预算绩效改革精神，严格部门预算管理，按年初预算绩效目标加强预算绩效考核监督管理，结合预算安排切实履行国有资本出资人责任，坚持以发展为目的，以改革为手段，以项目为依托，进一步优化预算资金使用效率，全年实现预算支出7443.72万元，完成预算的92.44%。</w:t>
      </w:r>
    </w:p>
    <w:p>
      <w:pPr>
        <w:spacing w:line="600" w:lineRule="exact"/>
        <w:ind w:firstLine="642" w:firstLineChars="200"/>
        <w:rPr>
          <w:rFonts w:ascii="仿宋" w:hAnsi="仿宋" w:eastAsia="仿宋"/>
          <w:color w:val="000000"/>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color w:val="FF0000"/>
          <w:sz w:val="32"/>
          <w:szCs w:val="32"/>
        </w:rPr>
        <w:br w:type="textWrapping"/>
      </w:r>
      <w:r>
        <w:rPr>
          <w:rFonts w:hint="eastAsia" w:ascii="仿宋_GB2312" w:hAnsi="仿宋_GB2312" w:eastAsia="仿宋_GB2312" w:cs="仿宋_GB2312"/>
          <w:color w:val="FF0000"/>
          <w:sz w:val="32"/>
          <w:szCs w:val="32"/>
        </w:rPr>
        <w:t xml:space="preserve">    </w:t>
      </w:r>
      <w:r>
        <w:rPr>
          <w:rFonts w:hint="eastAsia" w:ascii="仿宋" w:hAnsi="仿宋" w:eastAsia="仿宋"/>
          <w:color w:val="000000"/>
          <w:sz w:val="32"/>
          <w:szCs w:val="32"/>
        </w:rPr>
        <w:t>本部门在2018年度部门决算中反映“资产安全管理费</w:t>
      </w:r>
      <w:r>
        <w:rPr>
          <w:rFonts w:ascii="仿宋" w:hAnsi="仿宋" w:eastAsia="仿宋"/>
          <w:color w:val="000000"/>
          <w:sz w:val="32"/>
          <w:szCs w:val="32"/>
        </w:rPr>
        <w:t>”</w:t>
      </w:r>
      <w:r>
        <w:rPr>
          <w:rFonts w:hint="eastAsia" w:ascii="仿宋" w:hAnsi="仿宋" w:eastAsia="仿宋"/>
          <w:color w:val="000000"/>
          <w:sz w:val="32"/>
          <w:szCs w:val="32"/>
        </w:rPr>
        <w:t>“ 评估审计费</w:t>
      </w:r>
      <w:r>
        <w:rPr>
          <w:rFonts w:ascii="仿宋" w:hAnsi="仿宋" w:eastAsia="仿宋"/>
          <w:color w:val="000000"/>
          <w:sz w:val="32"/>
          <w:szCs w:val="32"/>
        </w:rPr>
        <w:t>”</w:t>
      </w:r>
      <w:r>
        <w:rPr>
          <w:rFonts w:hint="eastAsia" w:ascii="仿宋" w:hAnsi="仿宋" w:eastAsia="仿宋"/>
          <w:color w:val="000000"/>
          <w:sz w:val="32"/>
          <w:szCs w:val="32"/>
        </w:rPr>
        <w:t>“ 资产维修维护费”“资产管理电子信息平台费”“诉讼费”等5个项目绩效目标实际完成情况。</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资产安全管理费项目绩效目标完成情况综述。项目全年预算数7万元，执行数为7万元，完成预算的100%。通过项目实施，保障统一管理的市级行政事业单位经营性资产安全、高效、稳定运营，确保了资产安全和租赁户正常经营，实现了资产保值增值目标。发现的主要问题：现管理的市级行政事业单位经营性资产大多数为临建房和“5.12”地震后维修加固资产，潜在的安全隐患不容忽视。下一步改进措施：进一步加大安全检查力度，制定切实有效的措施办法消除安全隐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评估审计费项目绩效目标完成情况综述。项目全年预算数2万元，执行数为2万元，完成预算的100%。通过项目实施，对新接收资产和处置资产进行评估和审计，对资产维修维护编制预决算，对新接收和续签租赁进行合同市场询价、定价和面积测绘核定等工作，确保我中心资产管理公开、公平、公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资产维修维护费项目绩效目标完成情况综述。项目全年预算数23万元，执行数为12万元，完成预算的52%。通过项目实施，对统一管理的资产进行日常维修维护、防水治漏、消防治理和电路电线老化改造等工作，确保资产安全运营和资产承租户正常开展经营活动，保障了中心资产管理工作安全有序运行。</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资产管理电子信息平台费项目绩效目标完成情况综述。项目全年预算数3万元，执行数为3万元，完成预算的100%。通过项目实施，保障信息平台软件模块升级，平台运行维护管理服务费及配件耗材等支出，为科学、规范、公开、高效管理市级单位经营性资产提供强有力的技术支持。</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诉讼费项目绩效目标完成情况综述。项目全年预算数3万元，执行数为3万元，完成预算的100%。通过项目实施，为资产正常运营提供了法律保障，对违约租户依法提起诉讼确保资产收益应收尽收，妥善处理接收资产遗留问题保障新接收的资产能正常租赁，提高财政收入。发现的主要问题：受经济下行压力影响，资产租户因经营困难导致未按时缴纳租金的现象有所增长。下一步改进措施：靠前服务，协助解决租户在经营中出现的困难和问题，为租户经营出谋划策，做好政策解答。</w:t>
      </w:r>
    </w:p>
    <w:p>
      <w:pPr>
        <w:pStyle w:val="24"/>
        <w:tabs>
          <w:tab w:val="left" w:pos="880"/>
        </w:tabs>
        <w:ind w:left="420" w:firstLine="0" w:firstLineChars="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865" w:type="dxa"/>
        <w:tblInd w:w="-47" w:type="dxa"/>
        <w:tblLayout w:type="fixed"/>
        <w:tblCellMar>
          <w:top w:w="0" w:type="dxa"/>
          <w:left w:w="0" w:type="dxa"/>
          <w:bottom w:w="0" w:type="dxa"/>
          <w:right w:w="0" w:type="dxa"/>
        </w:tblCellMar>
      </w:tblPr>
      <w:tblGrid>
        <w:gridCol w:w="301"/>
        <w:gridCol w:w="1746"/>
        <w:gridCol w:w="567"/>
        <w:gridCol w:w="28"/>
        <w:gridCol w:w="2407"/>
        <w:gridCol w:w="2409"/>
        <w:gridCol w:w="2407"/>
      </w:tblGrid>
      <w:tr>
        <w:tblPrEx>
          <w:tblCellMar>
            <w:top w:w="0" w:type="dxa"/>
            <w:left w:w="0" w:type="dxa"/>
            <w:bottom w:w="0" w:type="dxa"/>
            <w:right w:w="0" w:type="dxa"/>
          </w:tblCellMar>
        </w:tblPrEx>
        <w:trPr>
          <w:trHeight w:val="895" w:hRule="atLeast"/>
        </w:trPr>
        <w:tc>
          <w:tcPr>
            <w:tcW w:w="9865" w:type="dxa"/>
            <w:gridSpan w:val="7"/>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CellMar>
            <w:top w:w="0" w:type="dxa"/>
            <w:left w:w="0" w:type="dxa"/>
            <w:bottom w:w="0" w:type="dxa"/>
            <w:right w:w="0" w:type="dxa"/>
          </w:tblCellMar>
        </w:tblPrEx>
        <w:trPr>
          <w:trHeight w:val="239" w:hRule="atLeast"/>
        </w:trPr>
        <w:tc>
          <w:tcPr>
            <w:tcW w:w="264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2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资产安全管理费</w:t>
            </w:r>
          </w:p>
        </w:tc>
      </w:tr>
      <w:tr>
        <w:tblPrEx>
          <w:tblCellMar>
            <w:top w:w="0" w:type="dxa"/>
            <w:left w:w="0" w:type="dxa"/>
            <w:bottom w:w="0" w:type="dxa"/>
            <w:right w:w="0" w:type="dxa"/>
          </w:tblCellMar>
        </w:tblPrEx>
        <w:trPr>
          <w:trHeight w:val="239" w:hRule="atLeast"/>
        </w:trPr>
        <w:tc>
          <w:tcPr>
            <w:tcW w:w="2642"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2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广元市国有资产管理中心</w:t>
            </w:r>
          </w:p>
        </w:tc>
      </w:tr>
      <w:tr>
        <w:tblPrEx>
          <w:tblCellMar>
            <w:top w:w="0" w:type="dxa"/>
            <w:left w:w="0" w:type="dxa"/>
            <w:bottom w:w="0" w:type="dxa"/>
            <w:right w:w="0" w:type="dxa"/>
          </w:tblCellMar>
        </w:tblPrEx>
        <w:trPr>
          <w:trHeight w:val="239" w:hRule="atLeast"/>
        </w:trPr>
        <w:tc>
          <w:tcPr>
            <w:tcW w:w="30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4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r>
      <w:tr>
        <w:tblPrEx>
          <w:tblCellMar>
            <w:top w:w="0" w:type="dxa"/>
            <w:left w:w="0" w:type="dxa"/>
            <w:bottom w:w="0" w:type="dxa"/>
            <w:right w:w="0" w:type="dxa"/>
          </w:tblCellMar>
        </w:tblPrEx>
        <w:trPr>
          <w:trHeight w:val="239" w:hRule="atLeast"/>
        </w:trPr>
        <w:tc>
          <w:tcPr>
            <w:tcW w:w="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4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w:t>
            </w:r>
          </w:p>
        </w:tc>
      </w:tr>
      <w:tr>
        <w:tblPrEx>
          <w:tblCellMar>
            <w:top w:w="0" w:type="dxa"/>
            <w:left w:w="0" w:type="dxa"/>
            <w:bottom w:w="0" w:type="dxa"/>
            <w:right w:w="0" w:type="dxa"/>
          </w:tblCellMar>
        </w:tblPrEx>
        <w:trPr>
          <w:trHeight w:val="1309" w:hRule="atLeast"/>
        </w:trPr>
        <w:tc>
          <w:tcPr>
            <w:tcW w:w="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41"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39" w:hRule="atLeast"/>
        </w:trPr>
        <w:tc>
          <w:tcPr>
            <w:tcW w:w="30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4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03" w:hRule="atLeast"/>
        </w:trPr>
        <w:tc>
          <w:tcPr>
            <w:tcW w:w="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48" w:type="dxa"/>
            <w:gridSpan w:val="4"/>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保障接收管理的市级行政事业单位经营性资产安全、高效、稳定正常租赁运行，促进资产保值增值。</w:t>
            </w:r>
          </w:p>
        </w:tc>
        <w:tc>
          <w:tcPr>
            <w:tcW w:w="481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 xml:space="preserve">   保障接收管理的市级行政事业单位经营性资产安全、高效、稳定正常租赁运行，促进资产保值增值。</w:t>
            </w:r>
          </w:p>
        </w:tc>
      </w:tr>
      <w:tr>
        <w:tblPrEx>
          <w:tblCellMar>
            <w:top w:w="0" w:type="dxa"/>
            <w:left w:w="0" w:type="dxa"/>
            <w:bottom w:w="0" w:type="dxa"/>
            <w:right w:w="0" w:type="dxa"/>
          </w:tblCellMar>
        </w:tblPrEx>
        <w:trPr>
          <w:trHeight w:val="902" w:hRule="atLeast"/>
        </w:trPr>
        <w:tc>
          <w:tcPr>
            <w:tcW w:w="30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一级指标</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二级指标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三级指标</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预期指标值(包含数字及文字描述)</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26" w:hRule="atLeast"/>
        </w:trPr>
        <w:tc>
          <w:tcPr>
            <w:tcW w:w="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数量指标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资产安全检查</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485户</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485户</w:t>
            </w:r>
          </w:p>
        </w:tc>
      </w:tr>
      <w:tr>
        <w:tblPrEx>
          <w:tblCellMar>
            <w:top w:w="0" w:type="dxa"/>
            <w:left w:w="0" w:type="dxa"/>
            <w:bottom w:w="0" w:type="dxa"/>
            <w:right w:w="0" w:type="dxa"/>
          </w:tblCellMar>
        </w:tblPrEx>
        <w:trPr>
          <w:trHeight w:val="1123" w:hRule="atLeast"/>
        </w:trPr>
        <w:tc>
          <w:tcPr>
            <w:tcW w:w="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数量指标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合同签订</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485户</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485户</w:t>
            </w:r>
          </w:p>
        </w:tc>
      </w:tr>
      <w:tr>
        <w:tblPrEx>
          <w:tblCellMar>
            <w:top w:w="0" w:type="dxa"/>
            <w:left w:w="0" w:type="dxa"/>
            <w:bottom w:w="0" w:type="dxa"/>
            <w:right w:w="0" w:type="dxa"/>
          </w:tblCellMar>
        </w:tblPrEx>
        <w:trPr>
          <w:trHeight w:val="902" w:hRule="atLeast"/>
        </w:trPr>
        <w:tc>
          <w:tcPr>
            <w:tcW w:w="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数量指标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询价定价</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485户</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485户</w:t>
            </w:r>
          </w:p>
        </w:tc>
      </w:tr>
      <w:tr>
        <w:tblPrEx>
          <w:tblCellMar>
            <w:top w:w="0" w:type="dxa"/>
            <w:left w:w="0" w:type="dxa"/>
            <w:bottom w:w="0" w:type="dxa"/>
            <w:right w:w="0" w:type="dxa"/>
          </w:tblCellMar>
        </w:tblPrEx>
        <w:trPr>
          <w:trHeight w:val="902" w:hRule="atLeast"/>
        </w:trPr>
        <w:tc>
          <w:tcPr>
            <w:tcW w:w="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数量指标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面积测绘</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485户</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485户</w:t>
            </w:r>
          </w:p>
        </w:tc>
      </w:tr>
      <w:tr>
        <w:tblPrEx>
          <w:tblCellMar>
            <w:top w:w="0" w:type="dxa"/>
            <w:left w:w="0" w:type="dxa"/>
            <w:bottom w:w="0" w:type="dxa"/>
            <w:right w:w="0" w:type="dxa"/>
          </w:tblCellMar>
        </w:tblPrEx>
        <w:trPr>
          <w:trHeight w:val="902" w:hRule="atLeast"/>
        </w:trPr>
        <w:tc>
          <w:tcPr>
            <w:tcW w:w="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数量指标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公示牌</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400左右</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400左右</w:t>
            </w:r>
          </w:p>
        </w:tc>
      </w:tr>
      <w:tr>
        <w:tblPrEx>
          <w:tblCellMar>
            <w:top w:w="0" w:type="dxa"/>
            <w:left w:w="0" w:type="dxa"/>
            <w:bottom w:w="0" w:type="dxa"/>
            <w:right w:w="0" w:type="dxa"/>
          </w:tblCellMar>
        </w:tblPrEx>
        <w:trPr>
          <w:trHeight w:val="902" w:hRule="atLeast"/>
        </w:trPr>
        <w:tc>
          <w:tcPr>
            <w:tcW w:w="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全年租金收益</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1267万</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1267万</w:t>
            </w:r>
          </w:p>
        </w:tc>
      </w:tr>
      <w:tr>
        <w:tblPrEx>
          <w:tblCellMar>
            <w:top w:w="0" w:type="dxa"/>
            <w:left w:w="0" w:type="dxa"/>
            <w:bottom w:w="0" w:type="dxa"/>
            <w:right w:w="0" w:type="dxa"/>
          </w:tblCellMar>
        </w:tblPrEx>
        <w:trPr>
          <w:trHeight w:val="909" w:hRule="atLeast"/>
        </w:trPr>
        <w:tc>
          <w:tcPr>
            <w:tcW w:w="3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满意度指标</w:t>
            </w:r>
          </w:p>
        </w:tc>
        <w:tc>
          <w:tcPr>
            <w:tcW w:w="24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资产安全、租户正常经营</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485户无投诉</w:t>
            </w:r>
          </w:p>
        </w:tc>
        <w:tc>
          <w:tcPr>
            <w:tcW w:w="240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485户无投诉</w:t>
            </w:r>
          </w:p>
        </w:tc>
      </w:tr>
    </w:tbl>
    <w:p>
      <w:pPr>
        <w:tabs>
          <w:tab w:val="left" w:pos="880"/>
        </w:tabs>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10025" w:type="dxa"/>
        <w:tblInd w:w="192" w:type="dxa"/>
        <w:tblLayout w:type="fixed"/>
        <w:tblCellMar>
          <w:top w:w="0" w:type="dxa"/>
          <w:left w:w="0" w:type="dxa"/>
          <w:bottom w:w="0" w:type="dxa"/>
          <w:right w:w="0" w:type="dxa"/>
        </w:tblCellMar>
      </w:tblPr>
      <w:tblGrid>
        <w:gridCol w:w="392"/>
        <w:gridCol w:w="1637"/>
        <w:gridCol w:w="770"/>
        <w:gridCol w:w="2408"/>
        <w:gridCol w:w="2409"/>
        <w:gridCol w:w="2409"/>
      </w:tblGrid>
      <w:tr>
        <w:tblPrEx>
          <w:tblCellMar>
            <w:top w:w="0" w:type="dxa"/>
            <w:left w:w="0" w:type="dxa"/>
            <w:bottom w:w="0" w:type="dxa"/>
            <w:right w:w="0" w:type="dxa"/>
          </w:tblCellMar>
        </w:tblPrEx>
        <w:trPr>
          <w:trHeight w:val="1057" w:hRule="atLeast"/>
        </w:trPr>
        <w:tc>
          <w:tcPr>
            <w:tcW w:w="10025"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83" w:hRule="atLeast"/>
        </w:trPr>
        <w:tc>
          <w:tcPr>
            <w:tcW w:w="279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26"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评估审计费</w:t>
            </w:r>
          </w:p>
        </w:tc>
      </w:tr>
      <w:tr>
        <w:tblPrEx>
          <w:tblCellMar>
            <w:top w:w="0" w:type="dxa"/>
            <w:left w:w="0" w:type="dxa"/>
            <w:bottom w:w="0" w:type="dxa"/>
            <w:right w:w="0" w:type="dxa"/>
          </w:tblCellMar>
        </w:tblPrEx>
        <w:trPr>
          <w:trHeight w:val="283" w:hRule="atLeast"/>
        </w:trPr>
        <w:tc>
          <w:tcPr>
            <w:tcW w:w="279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26"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广元市国有资产管理中心</w:t>
            </w:r>
          </w:p>
        </w:tc>
      </w:tr>
      <w:tr>
        <w:tblPrEx>
          <w:tblCellMar>
            <w:top w:w="0" w:type="dxa"/>
            <w:left w:w="0" w:type="dxa"/>
            <w:bottom w:w="0" w:type="dxa"/>
            <w:right w:w="0" w:type="dxa"/>
          </w:tblCellMar>
        </w:tblPrEx>
        <w:trPr>
          <w:trHeight w:val="283" w:hRule="atLeast"/>
        </w:trPr>
        <w:tc>
          <w:tcPr>
            <w:tcW w:w="39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407" w:type="dxa"/>
            <w:gridSpan w:val="2"/>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0" w:type="dxa"/>
            <w:bottom w:w="0" w:type="dxa"/>
            <w:right w:w="0" w:type="dxa"/>
          </w:tblCellMar>
        </w:tblPrEx>
        <w:trPr>
          <w:trHeight w:val="283"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2407" w:type="dxa"/>
            <w:gridSpan w:val="2"/>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w:t>
            </w:r>
          </w:p>
        </w:tc>
      </w:tr>
      <w:tr>
        <w:tblPrEx>
          <w:tblCellMar>
            <w:top w:w="0" w:type="dxa"/>
            <w:left w:w="0" w:type="dxa"/>
            <w:bottom w:w="0" w:type="dxa"/>
            <w:right w:w="0" w:type="dxa"/>
          </w:tblCellMar>
        </w:tblPrEx>
        <w:trPr>
          <w:trHeight w:val="1547"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2407" w:type="dxa"/>
            <w:gridSpan w:val="2"/>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83" w:hRule="atLeast"/>
        </w:trPr>
        <w:tc>
          <w:tcPr>
            <w:tcW w:w="39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15"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87"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4815" w:type="dxa"/>
            <w:gridSpan w:val="3"/>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对资产评估和审计及面积测绘，维修维护预算控制价编制和竣工结算审核。</w:t>
            </w:r>
          </w:p>
        </w:tc>
        <w:tc>
          <w:tcPr>
            <w:tcW w:w="48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对资产评估和审计及面积测绘，维修维护预算控制价编制和竣工结算审核。</w:t>
            </w:r>
          </w:p>
        </w:tc>
      </w:tr>
      <w:tr>
        <w:tblPrEx>
          <w:tblCellMar>
            <w:top w:w="0" w:type="dxa"/>
            <w:left w:w="0" w:type="dxa"/>
            <w:bottom w:w="0" w:type="dxa"/>
            <w:right w:w="0" w:type="dxa"/>
          </w:tblCellMar>
        </w:tblPrEx>
        <w:trPr>
          <w:trHeight w:val="1067" w:hRule="atLeast"/>
        </w:trPr>
        <w:tc>
          <w:tcPr>
            <w:tcW w:w="39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63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预期指标值(包含数字及文字描述)</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实际完成指标值(包含数字及文字描述)</w:t>
            </w:r>
          </w:p>
        </w:tc>
      </w:tr>
      <w:tr>
        <w:tblPrEx>
          <w:tblCellMar>
            <w:top w:w="0" w:type="dxa"/>
            <w:left w:w="0" w:type="dxa"/>
            <w:bottom w:w="0" w:type="dxa"/>
            <w:right w:w="0" w:type="dxa"/>
          </w:tblCellMar>
        </w:tblPrEx>
        <w:trPr>
          <w:trHeight w:val="975"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63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资产评估审计</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资产公开处置</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资产公开处置</w:t>
            </w:r>
          </w:p>
        </w:tc>
      </w:tr>
      <w:tr>
        <w:tblPrEx>
          <w:tblCellMar>
            <w:top w:w="0" w:type="dxa"/>
            <w:left w:w="0" w:type="dxa"/>
            <w:bottom w:w="0" w:type="dxa"/>
            <w:right w:w="0" w:type="dxa"/>
          </w:tblCellMar>
        </w:tblPrEx>
        <w:trPr>
          <w:trHeight w:val="1327"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63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资产面积测绘</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新增及面积有争议资产</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新增及面积有争议资产</w:t>
            </w:r>
          </w:p>
        </w:tc>
      </w:tr>
      <w:tr>
        <w:tblPrEx>
          <w:tblCellMar>
            <w:top w:w="0" w:type="dxa"/>
            <w:left w:w="0" w:type="dxa"/>
            <w:bottom w:w="0" w:type="dxa"/>
            <w:right w:w="0" w:type="dxa"/>
          </w:tblCellMar>
        </w:tblPrEx>
        <w:trPr>
          <w:trHeight w:val="1067"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63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维修维护预决算审核</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1.5万</w:t>
            </w:r>
          </w:p>
        </w:tc>
      </w:tr>
      <w:tr>
        <w:tblPrEx>
          <w:tblCellMar>
            <w:top w:w="0" w:type="dxa"/>
            <w:left w:w="0" w:type="dxa"/>
            <w:bottom w:w="0" w:type="dxa"/>
            <w:right w:w="0" w:type="dxa"/>
          </w:tblCellMar>
        </w:tblPrEx>
        <w:trPr>
          <w:trHeight w:val="1075" w:hRule="atLeast"/>
        </w:trPr>
        <w:tc>
          <w:tcPr>
            <w:tcW w:w="3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637" w:type="dxa"/>
            <w:tcBorders>
              <w:top w:val="single" w:color="000000"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77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4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满意率</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4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tabs>
          <w:tab w:val="left" w:pos="880"/>
        </w:tabs>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10050" w:type="dxa"/>
        <w:tblInd w:w="0" w:type="dxa"/>
        <w:tblLayout w:type="fixed"/>
        <w:tblCellMar>
          <w:top w:w="0" w:type="dxa"/>
          <w:left w:w="0" w:type="dxa"/>
          <w:bottom w:w="0" w:type="dxa"/>
          <w:right w:w="0" w:type="dxa"/>
        </w:tblCellMar>
      </w:tblPr>
      <w:tblGrid>
        <w:gridCol w:w="393"/>
        <w:gridCol w:w="1768"/>
        <w:gridCol w:w="646"/>
        <w:gridCol w:w="2413"/>
        <w:gridCol w:w="2415"/>
        <w:gridCol w:w="2415"/>
      </w:tblGrid>
      <w:tr>
        <w:tblPrEx>
          <w:tblCellMar>
            <w:top w:w="0" w:type="dxa"/>
            <w:left w:w="0" w:type="dxa"/>
            <w:bottom w:w="0" w:type="dxa"/>
            <w:right w:w="0" w:type="dxa"/>
          </w:tblCellMar>
        </w:tblPrEx>
        <w:trPr>
          <w:trHeight w:val="925" w:hRule="atLeast"/>
        </w:trPr>
        <w:tc>
          <w:tcPr>
            <w:tcW w:w="1005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47" w:hRule="atLeast"/>
        </w:trPr>
        <w:tc>
          <w:tcPr>
            <w:tcW w:w="280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rPr>
              <w:t>资产维修维护费</w:t>
            </w:r>
          </w:p>
        </w:tc>
      </w:tr>
      <w:tr>
        <w:tblPrEx>
          <w:tblCellMar>
            <w:top w:w="0" w:type="dxa"/>
            <w:left w:w="0" w:type="dxa"/>
            <w:bottom w:w="0" w:type="dxa"/>
            <w:right w:w="0" w:type="dxa"/>
          </w:tblCellMar>
        </w:tblPrEx>
        <w:trPr>
          <w:trHeight w:val="247" w:hRule="atLeast"/>
        </w:trPr>
        <w:tc>
          <w:tcPr>
            <w:tcW w:w="280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243"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广元市国有资产管理中心</w:t>
            </w:r>
          </w:p>
        </w:tc>
      </w:tr>
      <w:tr>
        <w:tblPrEx>
          <w:tblCellMar>
            <w:top w:w="0" w:type="dxa"/>
            <w:left w:w="0" w:type="dxa"/>
            <w:bottom w:w="0" w:type="dxa"/>
            <w:right w:w="0" w:type="dxa"/>
          </w:tblCellMar>
        </w:tblPrEx>
        <w:trPr>
          <w:trHeight w:val="247"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4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w:t>
            </w:r>
          </w:p>
        </w:tc>
      </w:tr>
      <w:tr>
        <w:tblPrEx>
          <w:tblCellMar>
            <w:top w:w="0" w:type="dxa"/>
            <w:left w:w="0" w:type="dxa"/>
            <w:bottom w:w="0" w:type="dxa"/>
            <w:right w:w="0" w:type="dxa"/>
          </w:tblCellMar>
        </w:tblPrEx>
        <w:trPr>
          <w:trHeight w:val="247"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4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w:t>
            </w:r>
          </w:p>
        </w:tc>
      </w:tr>
      <w:tr>
        <w:tblPrEx>
          <w:tblCellMar>
            <w:top w:w="0" w:type="dxa"/>
            <w:left w:w="0" w:type="dxa"/>
            <w:bottom w:w="0" w:type="dxa"/>
            <w:right w:w="0" w:type="dxa"/>
          </w:tblCellMar>
        </w:tblPrEx>
        <w:trPr>
          <w:trHeight w:val="1351"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414"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47"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8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8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036"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8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kern w:val="0"/>
                <w:sz w:val="24"/>
              </w:rPr>
              <w:t>对管理的资产进行日常维修维护，防水治漏，消防治理，电路电线老化改造等，确保资产安全运营。</w:t>
            </w:r>
          </w:p>
        </w:tc>
        <w:tc>
          <w:tcPr>
            <w:tcW w:w="482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kern w:val="0"/>
                <w:sz w:val="24"/>
              </w:rPr>
              <w:t>对管理的资产进行日常维修维护，防水治漏，消防治理，电路电线老化改造等，确保资产安全运营。</w:t>
            </w:r>
          </w:p>
        </w:tc>
      </w:tr>
      <w:tr>
        <w:tblPrEx>
          <w:tblCellMar>
            <w:top w:w="0" w:type="dxa"/>
            <w:left w:w="0" w:type="dxa"/>
            <w:bottom w:w="0" w:type="dxa"/>
            <w:right w:w="0" w:type="dxa"/>
          </w:tblCellMar>
        </w:tblPrEx>
        <w:trPr>
          <w:trHeight w:val="932" w:hRule="atLeast"/>
        </w:trPr>
        <w:tc>
          <w:tcPr>
            <w:tcW w:w="3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852"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资产维修维护</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12户</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12户</w:t>
            </w:r>
          </w:p>
        </w:tc>
      </w:tr>
      <w:tr>
        <w:tblPrEx>
          <w:tblCellMar>
            <w:top w:w="0" w:type="dxa"/>
            <w:left w:w="0" w:type="dxa"/>
            <w:bottom w:w="0" w:type="dxa"/>
            <w:right w:w="0" w:type="dxa"/>
          </w:tblCellMar>
        </w:tblPrEx>
        <w:trPr>
          <w:trHeight w:val="1160"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按合同履约12户</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按合同履约12户</w:t>
            </w:r>
          </w:p>
        </w:tc>
      </w:tr>
      <w:tr>
        <w:tblPrEx>
          <w:tblCellMar>
            <w:top w:w="0" w:type="dxa"/>
            <w:left w:w="0" w:type="dxa"/>
            <w:bottom w:w="0" w:type="dxa"/>
            <w:right w:w="0" w:type="dxa"/>
          </w:tblCellMar>
        </w:tblPrEx>
        <w:trPr>
          <w:trHeight w:val="939" w:hRule="atLeast"/>
        </w:trPr>
        <w:tc>
          <w:tcPr>
            <w:tcW w:w="39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6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41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满意率</w:t>
            </w:r>
          </w:p>
        </w:tc>
        <w:tc>
          <w:tcPr>
            <w:tcW w:w="241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41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tabs>
          <w:tab w:val="left" w:pos="880"/>
        </w:tabs>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90" w:type="dxa"/>
        <w:tblInd w:w="0" w:type="dxa"/>
        <w:tblLayout w:type="fixed"/>
        <w:tblCellMar>
          <w:top w:w="0" w:type="dxa"/>
          <w:left w:w="0" w:type="dxa"/>
          <w:bottom w:w="0" w:type="dxa"/>
          <w:right w:w="0" w:type="dxa"/>
        </w:tblCellMar>
      </w:tblPr>
      <w:tblGrid>
        <w:gridCol w:w="391"/>
        <w:gridCol w:w="1757"/>
        <w:gridCol w:w="642"/>
        <w:gridCol w:w="2399"/>
        <w:gridCol w:w="2401"/>
        <w:gridCol w:w="2400"/>
      </w:tblGrid>
      <w:tr>
        <w:tblPrEx>
          <w:tblCellMar>
            <w:top w:w="0" w:type="dxa"/>
            <w:left w:w="0" w:type="dxa"/>
            <w:bottom w:w="0" w:type="dxa"/>
            <w:right w:w="0" w:type="dxa"/>
          </w:tblCellMar>
        </w:tblPrEx>
        <w:trPr>
          <w:trHeight w:val="918" w:hRule="atLeast"/>
        </w:trPr>
        <w:tc>
          <w:tcPr>
            <w:tcW w:w="999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45" w:hRule="atLeast"/>
        </w:trPr>
        <w:tc>
          <w:tcPr>
            <w:tcW w:w="27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2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资产管理电子信息平台经费</w:t>
            </w:r>
          </w:p>
        </w:tc>
      </w:tr>
      <w:tr>
        <w:tblPrEx>
          <w:tblCellMar>
            <w:top w:w="0" w:type="dxa"/>
            <w:left w:w="0" w:type="dxa"/>
            <w:bottom w:w="0" w:type="dxa"/>
            <w:right w:w="0" w:type="dxa"/>
          </w:tblCellMar>
        </w:tblPrEx>
        <w:trPr>
          <w:trHeight w:val="245" w:hRule="atLeast"/>
        </w:trPr>
        <w:tc>
          <w:tcPr>
            <w:tcW w:w="279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20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广元市国有资产管理中心</w:t>
            </w:r>
          </w:p>
        </w:tc>
      </w:tr>
      <w:tr>
        <w:tblPrEx>
          <w:tblCellMar>
            <w:top w:w="0" w:type="dxa"/>
            <w:left w:w="0" w:type="dxa"/>
            <w:bottom w:w="0" w:type="dxa"/>
            <w:right w:w="0" w:type="dxa"/>
          </w:tblCellMar>
        </w:tblPrEx>
        <w:trPr>
          <w:trHeight w:val="245" w:hRule="atLeast"/>
        </w:trPr>
        <w:tc>
          <w:tcPr>
            <w:tcW w:w="3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w:t>
            </w:r>
          </w:p>
        </w:tc>
        <w:tc>
          <w:tcPr>
            <w:tcW w:w="24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w:t>
            </w:r>
          </w:p>
        </w:tc>
      </w:tr>
      <w:tr>
        <w:tblPrEx>
          <w:tblCellMar>
            <w:top w:w="0" w:type="dxa"/>
            <w:left w:w="0" w:type="dxa"/>
            <w:bottom w:w="0" w:type="dxa"/>
            <w:right w:w="0" w:type="dxa"/>
          </w:tblCellMar>
        </w:tblPrEx>
        <w:trPr>
          <w:trHeight w:val="245"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3</w:t>
            </w:r>
          </w:p>
        </w:tc>
        <w:tc>
          <w:tcPr>
            <w:tcW w:w="24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right"/>
              <w:textAlignment w:val="center"/>
              <w:rPr>
                <w:rFonts w:ascii="宋体" w:hAnsi="宋体" w:cs="宋体"/>
                <w:sz w:val="24"/>
              </w:rPr>
            </w:pPr>
            <w:r>
              <w:rPr>
                <w:rFonts w:hint="eastAsia" w:ascii="宋体" w:hAnsi="宋体" w:cs="宋体"/>
                <w:sz w:val="24"/>
              </w:rPr>
              <w:t>3</w:t>
            </w:r>
          </w:p>
        </w:tc>
      </w:tr>
      <w:tr>
        <w:tblPrEx>
          <w:tblCellMar>
            <w:top w:w="0" w:type="dxa"/>
            <w:left w:w="0" w:type="dxa"/>
            <w:bottom w:w="0" w:type="dxa"/>
            <w:right w:w="0" w:type="dxa"/>
          </w:tblCellMar>
        </w:tblPrEx>
        <w:trPr>
          <w:trHeight w:val="1341"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4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p>
        </w:tc>
      </w:tr>
      <w:tr>
        <w:tblPrEx>
          <w:tblCellMar>
            <w:top w:w="0" w:type="dxa"/>
            <w:left w:w="0" w:type="dxa"/>
            <w:bottom w:w="0" w:type="dxa"/>
            <w:right w:w="0" w:type="dxa"/>
          </w:tblCellMar>
        </w:tblPrEx>
        <w:trPr>
          <w:trHeight w:val="245" w:hRule="atLeast"/>
        </w:trPr>
        <w:tc>
          <w:tcPr>
            <w:tcW w:w="3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8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029"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9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保障资产管理信息平台运行正常。</w:t>
            </w:r>
          </w:p>
        </w:tc>
        <w:tc>
          <w:tcPr>
            <w:tcW w:w="480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保障资产管理信息平台运行正常。</w:t>
            </w:r>
          </w:p>
        </w:tc>
      </w:tr>
      <w:tr>
        <w:tblPrEx>
          <w:tblCellMar>
            <w:top w:w="0" w:type="dxa"/>
            <w:left w:w="0" w:type="dxa"/>
            <w:bottom w:w="0" w:type="dxa"/>
            <w:right w:w="0" w:type="dxa"/>
          </w:tblCellMar>
        </w:tblPrEx>
        <w:trPr>
          <w:trHeight w:val="925" w:hRule="atLeast"/>
        </w:trPr>
        <w:tc>
          <w:tcPr>
            <w:tcW w:w="39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4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846"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数量指标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软件服务</w:t>
            </w:r>
          </w:p>
        </w:tc>
        <w:tc>
          <w:tcPr>
            <w:tcW w:w="24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每年服务费1.5万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每年服务费1.5万</w:t>
            </w:r>
          </w:p>
        </w:tc>
      </w:tr>
      <w:tr>
        <w:tblPrEx>
          <w:tblCellMar>
            <w:top w:w="0" w:type="dxa"/>
            <w:left w:w="0" w:type="dxa"/>
            <w:bottom w:w="0" w:type="dxa"/>
            <w:right w:w="0" w:type="dxa"/>
          </w:tblCellMar>
        </w:tblPrEx>
        <w:trPr>
          <w:trHeight w:val="1151"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数量指标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模块升级</w:t>
            </w:r>
          </w:p>
        </w:tc>
        <w:tc>
          <w:tcPr>
            <w:tcW w:w="24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模块升级费用1.5万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模块升级费用1.5万</w:t>
            </w:r>
          </w:p>
        </w:tc>
      </w:tr>
      <w:tr>
        <w:tblPrEx>
          <w:tblCellMar>
            <w:top w:w="0" w:type="dxa"/>
            <w:left w:w="0" w:type="dxa"/>
            <w:bottom w:w="0" w:type="dxa"/>
            <w:right w:w="0" w:type="dxa"/>
          </w:tblCellMar>
        </w:tblPrEx>
        <w:trPr>
          <w:trHeight w:val="925" w:hRule="atLeast"/>
        </w:trPr>
        <w:tc>
          <w:tcPr>
            <w:tcW w:w="39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64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满意率</w:t>
            </w:r>
          </w:p>
        </w:tc>
        <w:tc>
          <w:tcPr>
            <w:tcW w:w="240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100%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widowControl/>
              <w:jc w:val="center"/>
              <w:textAlignment w:val="center"/>
              <w:rPr>
                <w:rFonts w:ascii="宋体" w:hAnsi="宋体" w:cs="宋体"/>
                <w:sz w:val="24"/>
              </w:rPr>
            </w:pPr>
            <w:r>
              <w:rPr>
                <w:rFonts w:hint="eastAsia" w:ascii="宋体" w:hAnsi="宋体" w:cs="宋体"/>
                <w:sz w:val="24"/>
              </w:rPr>
              <w:t>100%</w:t>
            </w:r>
          </w:p>
        </w:tc>
      </w:tr>
    </w:tbl>
    <w:p>
      <w:pPr>
        <w:tabs>
          <w:tab w:val="left" w:pos="880"/>
        </w:tabs>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752"/>
        <w:gridCol w:w="640"/>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rPr>
              <w:t>诉讼费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rPr>
              <w:t>广元市国有资产管理中心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hAnsi="宋体" w:cs="宋体"/>
                <w:color w:val="000000"/>
                <w:sz w:val="24"/>
              </w:rPr>
            </w:pPr>
            <w:r>
              <w:rPr>
                <w:rFonts w:hint="eastAsia" w:ascii="宋体" w:hAnsi="宋体" w:cs="宋体"/>
                <w:color w:val="000000"/>
                <w:sz w:val="24"/>
              </w:rPr>
              <w:t>为资产安全运行、保值增值提供法律保障。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hAnsi="宋体" w:cs="宋体"/>
                <w:color w:val="000000"/>
                <w:sz w:val="24"/>
              </w:rPr>
            </w:pPr>
            <w:r>
              <w:rPr>
                <w:rFonts w:hint="eastAsia" w:ascii="宋体" w:hAnsi="宋体" w:cs="宋体"/>
                <w:color w:val="000000"/>
                <w:sz w:val="24"/>
              </w:rPr>
              <w:t>保障了资产安全运行、保值增值。</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常年法律顾问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1人</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租赁合同修订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485户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485户</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合同纠纷解决</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10余户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10余户</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资产租赁相关法律事宜咨询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20余次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20余次</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75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6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本部门按要求对2018年部门整体支出绩效评价情况开展自评，《广元市人民政府国有资产监督管理委员会2018年部门整体支出绩效评价报告》见附件。</w:t>
      </w:r>
    </w:p>
    <w:p>
      <w:pPr>
        <w:spacing w:line="600" w:lineRule="exact"/>
        <w:ind w:firstLine="640" w:firstLineChars="200"/>
        <w:outlineLvl w:val="1"/>
        <w:rPr>
          <w:rStyle w:val="26"/>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8年，广元市人民政府国有资产监督管理委员会机关运行经费支出89.52万元，比</w:t>
      </w:r>
      <w:r>
        <w:rPr>
          <w:rFonts w:ascii="仿宋" w:hAnsi="仿宋" w:eastAsia="仿宋"/>
          <w:color w:val="000000"/>
          <w:sz w:val="32"/>
          <w:szCs w:val="32"/>
        </w:rPr>
        <w:t>201</w:t>
      </w:r>
      <w:r>
        <w:rPr>
          <w:rFonts w:hint="eastAsia" w:ascii="仿宋" w:hAnsi="仿宋" w:eastAsia="仿宋"/>
          <w:color w:val="000000"/>
          <w:sz w:val="32"/>
          <w:szCs w:val="32"/>
        </w:rPr>
        <w:t>7年减少48.44万元，下降35.11</w:t>
      </w:r>
      <w:r>
        <w:rPr>
          <w:rFonts w:ascii="仿宋" w:hAnsi="仿宋" w:eastAsia="仿宋"/>
          <w:color w:val="000000"/>
          <w:sz w:val="32"/>
          <w:szCs w:val="32"/>
        </w:rPr>
        <w:t>%</w:t>
      </w:r>
      <w:r>
        <w:rPr>
          <w:rFonts w:hint="eastAsia" w:ascii="仿宋" w:hAnsi="仿宋" w:eastAsia="仿宋"/>
          <w:color w:val="000000"/>
          <w:sz w:val="32"/>
          <w:szCs w:val="32"/>
        </w:rPr>
        <w:t>。主要原因是不折不扣落实好国省市压减一般性支出的精神。</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全委政府采购支出总额7.61万元，其中：政府采购货物支出7.61万元、政府采购工程支出0万元、政府采购服务支出0万元。主要用于办公设备和办公家具购置。授予中小企业合同金额0万元，其中：授予小微企业合同金额0万元。</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w:t>
      </w:r>
      <w:r>
        <w:rPr>
          <w:rFonts w:hint="eastAsia" w:ascii="仿宋" w:hAnsi="仿宋" w:eastAsia="仿宋"/>
          <w:color w:val="000000"/>
          <w:sz w:val="32"/>
          <w:szCs w:val="32"/>
        </w:rPr>
        <w:t>8年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日，全委共有车辆1辆，其中：部级领导干部用车0辆、一般公务用车1辆、一般执法执勤用车0辆、特种专业技术用车0辆、其他用车0辆。单价</w:t>
      </w:r>
      <w:r>
        <w:rPr>
          <w:rFonts w:ascii="仿宋" w:hAnsi="仿宋" w:eastAsia="仿宋"/>
          <w:color w:val="000000"/>
          <w:sz w:val="32"/>
          <w:szCs w:val="32"/>
        </w:rPr>
        <w:t>50</w:t>
      </w:r>
      <w:r>
        <w:rPr>
          <w:rFonts w:hint="eastAsia" w:ascii="仿宋" w:hAnsi="仿宋" w:eastAsia="仿宋"/>
          <w:color w:val="000000"/>
          <w:sz w:val="32"/>
          <w:szCs w:val="32"/>
        </w:rPr>
        <w:t>万元以上通用设备0台（套），单价</w:t>
      </w:r>
      <w:r>
        <w:rPr>
          <w:rFonts w:ascii="仿宋" w:hAnsi="仿宋" w:eastAsia="仿宋"/>
          <w:color w:val="000000"/>
          <w:sz w:val="32"/>
          <w:szCs w:val="32"/>
        </w:rPr>
        <w:t>100</w:t>
      </w:r>
      <w:r>
        <w:rPr>
          <w:rFonts w:hint="eastAsia" w:ascii="仿宋" w:hAnsi="仿宋" w:eastAsia="仿宋"/>
          <w:color w:val="000000"/>
          <w:sz w:val="32"/>
          <w:szCs w:val="32"/>
        </w:rPr>
        <w:t>万元以上专用设备0台（套）。</w:t>
      </w:r>
    </w:p>
    <w:p>
      <w:pPr>
        <w:widowControl/>
        <w:jc w:val="left"/>
        <w:rPr>
          <w:rFonts w:ascii="仿宋_GB2312" w:eastAsia="仿宋_GB2312"/>
          <w:b/>
          <w:color w:val="000000"/>
          <w:sz w:val="32"/>
          <w:szCs w:val="32"/>
        </w:rPr>
      </w:pPr>
    </w:p>
    <w:p>
      <w:pPr>
        <w:numPr>
          <w:ilvl w:val="0"/>
          <w:numId w:val="5"/>
        </w:numPr>
        <w:spacing w:line="600" w:lineRule="exact"/>
        <w:ind w:firstLine="662"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财政拨款收入：指单位从同级财政部门取得的财政预算资金。</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事业收入：指事业单位开展专业业务活动及辅助活动取得的收入。</w:t>
      </w:r>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其他收入：指单位取得的除上述收入以外的各项收入。主要是利息收入等。</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年初结转和结余：指以前年度尚未完成、结转到本年按有关规定继续使用的资金。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5.年末结转和结余：指单位按有关规定结转到下年或以后年度继续使用的资金。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w:t>
      </w:r>
      <w:r>
        <w:rPr>
          <w:rFonts w:ascii="仿宋" w:hAnsi="仿宋" w:eastAsia="仿宋"/>
          <w:color w:val="000000"/>
          <w:sz w:val="32"/>
          <w:szCs w:val="32"/>
        </w:rPr>
        <w:t>.</w:t>
      </w:r>
      <w:r>
        <w:rPr>
          <w:rFonts w:hint="eastAsia" w:ascii="仿宋" w:hAnsi="仿宋" w:eastAsia="仿宋"/>
          <w:color w:val="000000"/>
          <w:sz w:val="32"/>
          <w:szCs w:val="32"/>
        </w:rPr>
        <w:t>一般公共服务（类）政府办公厅（室）及相关机构事务（款）其他政府办公厅（室）及相关机构事务支出（项）</w:t>
      </w:r>
      <w:r>
        <w:rPr>
          <w:rFonts w:ascii="仿宋" w:hAnsi="仿宋" w:eastAsia="仿宋"/>
          <w:color w:val="000000"/>
          <w:sz w:val="32"/>
          <w:szCs w:val="32"/>
        </w:rPr>
        <w:t>:</w:t>
      </w:r>
      <w:r>
        <w:rPr>
          <w:rFonts w:hint="eastAsia" w:ascii="仿宋" w:hAnsi="仿宋" w:eastAsia="仿宋"/>
          <w:color w:val="000000"/>
          <w:sz w:val="32"/>
          <w:szCs w:val="32"/>
        </w:rPr>
        <w:t>指各级政府办公厅（室）及相关机构的除一般行政管理事务、机关服务、专项服务、信访事务、事业运行等以外的支出。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w:t>
      </w:r>
      <w:r>
        <w:rPr>
          <w:rFonts w:hint="eastAsia" w:ascii="仿宋" w:hAnsi="仿宋" w:eastAsia="仿宋"/>
          <w:color w:val="000000"/>
          <w:sz w:val="32"/>
          <w:szCs w:val="32"/>
        </w:rPr>
        <w:t>社会保障和就业（类）行政事业单位离退休（款）机关事业单位基本养老保险缴费支出（项）</w:t>
      </w:r>
      <w:r>
        <w:rPr>
          <w:rFonts w:ascii="仿宋" w:hAnsi="仿宋" w:eastAsia="仿宋"/>
          <w:color w:val="000000"/>
          <w:sz w:val="32"/>
          <w:szCs w:val="32"/>
        </w:rPr>
        <w:t>:</w:t>
      </w:r>
      <w:r>
        <w:rPr>
          <w:rFonts w:hint="eastAsia" w:ascii="仿宋" w:hAnsi="仿宋" w:eastAsia="仿宋"/>
          <w:color w:val="000000"/>
          <w:sz w:val="32"/>
          <w:szCs w:val="32"/>
        </w:rPr>
        <w:t>指机关事业单位实施养老保险制度由单位缴纳的基本养老保险费支出。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hint="eastAsia" w:ascii="仿宋" w:hAnsi="仿宋" w:eastAsia="仿宋"/>
          <w:color w:val="000000"/>
          <w:sz w:val="32"/>
          <w:szCs w:val="32"/>
        </w:rPr>
        <w:t>医疗卫生与计划生育（类）行政事业单位医疗（款）行政单位医疗（项）</w:t>
      </w:r>
      <w:r>
        <w:rPr>
          <w:rFonts w:ascii="仿宋" w:hAnsi="仿宋" w:eastAsia="仿宋"/>
          <w:color w:val="000000"/>
          <w:sz w:val="32"/>
          <w:szCs w:val="32"/>
        </w:rPr>
        <w:t>:</w:t>
      </w:r>
      <w:r>
        <w:rPr>
          <w:rFonts w:hint="eastAsia" w:ascii="仿宋" w:hAnsi="仿宋" w:eastAsia="仿宋"/>
          <w:color w:val="000000"/>
          <w:sz w:val="32"/>
          <w:szCs w:val="32"/>
        </w:rPr>
        <w:t>指财政部门集中安排的行政单位基本医疗保险缴费经费，未参加医疗保险的行政单位的公费医疗经费，按国家规定享受离休人员、红军老战士待遇人员的医疗经费。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9.医疗卫生与计划生育（类）行政事业单位医疗（款）事业单位医疗（项）</w:t>
      </w:r>
      <w:r>
        <w:rPr>
          <w:rFonts w:ascii="仿宋" w:hAnsi="仿宋" w:eastAsia="仿宋"/>
          <w:color w:val="000000"/>
          <w:sz w:val="32"/>
          <w:szCs w:val="32"/>
        </w:rPr>
        <w:t>:</w:t>
      </w:r>
      <w:r>
        <w:rPr>
          <w:rFonts w:hint="eastAsia" w:ascii="仿宋" w:hAnsi="仿宋" w:eastAsia="仿宋"/>
          <w:color w:val="000000"/>
          <w:sz w:val="32"/>
          <w:szCs w:val="32"/>
        </w:rPr>
        <w:t>指加医疗保险的事业单位的公费医疗经费，按国家规定享受离休人员待遇的医疗经费 。</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10.农林水支出（类）农林水支出（款）农业（项）：指财政用于种植业、畜牧业、渔业、兽医、农机、农垦、农场、农业产业化经营组织、农村和垦区公益事业、农产品加工等方面的支出。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11.资源勘探信息等支出（类）国有资产监管（款）行政运行（项）：指行政单位（包括实行公务员管理的事业单位）的基本支出。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12.资源勘探信息等支出（类）国有资产监管（款）  一般行政管理事务（项）：指行政单位（包括实行公务员管理的事业单位）未单独设置项级科目的其他项目支出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13.资源勘探信息等支出（类）国有资产监管（款）  其他国有资产监管支出（项）：指除上述项目以外其他用于国有资产监管方面的支出。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14.住房保障支出（类）保障性安居工程支出（款）公共租赁住房（项）：指用于新建、改建、购买、租赁、维护和管理公共租赁住房支出。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15.住房保障支出（类）住房改革支出（款）住房公积金（项）：指行政事业单位按人力资源和社会保障部、财政部规定的基本工资和津贴补贴以及规定比例为职工缴纳住房公积金。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16.住房保障支出（类）住房改革支出（款）购房补贴（项）：指按房改政策规定，行政事业单位向符合条件职工（含离退休人员）、军队（含武警）向转役复员离退休人员发放的用于购买住房的补贴。</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17.本支出：指为保障机构正常运转、完成日常工作任务而发生的人员支出和公用支出。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18.目支出：指在基本支出之外为完成特定行政任务和事业发展目标所发生的支出。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000000"/>
          <w:sz w:val="32"/>
          <w:szCs w:val="32"/>
        </w:rPr>
      </w:pPr>
      <w:bookmarkStart w:id="57" w:name="_Toc15396614"/>
      <w:bookmarkStart w:id="58" w:name="_Toc15377226"/>
    </w:p>
    <w:p>
      <w:pPr>
        <w:ind w:firstLine="880" w:firstLineChars="200"/>
        <w:jc w:val="center"/>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广元市人民政府国有资产监督管理委员会</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中共广元市委广元市人民政府关于印发&lt;广元市人民政府机构改革方案&gt;和&lt;广元市人民政府机构改革方案的实施意见&gt;的通知》(广委[2010]70号),设立广元市人民政府国有资产监督管理委员会(简称市国资委),为市政府直属事业单位。广元市国资委下有财政拨款事业单位1个。</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1.根据市政府授权,依照《中华人民共和国公司法》、《中华人民共和国企业国有资产法》等法律和行政法规履行出资人职责,监管市属企业的国有资产,加强国有资产的管理工作。</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2.研究拟订国有资产管理的办法和制度规定,依法对县区国有资产管理进行指导。</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3.承担监督所监管企业国有资产保值增值的责任,建立和完善国有资产保值增值指标体系,制订考核标准,通过统计、稽核等方式对所监管企业国有资产保值增值情况进行监管,负责所监管企业工资分配管理工作,制定所监管企业负责人收入分配政策并组织实施。</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4.指导推进国有企业改革和重组,推进国有企业的现代企业制度建设,完善公司法人治理结构,推动国有经济布局和结构的战略性调整。</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5.通过法定程序对所监管企业负责人进行任免、考核并根据其经营业绩进行奖惩；建立符合社会主义市场经济体制和现代企业制度要求的选人、用人机制,完善经营者激励和约束制度。</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6.按照有关规定,代表市政府向所监管企业派出监事会,负责监事会的日常管理工作。</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7.监缴所监管企业国有资本金收益,编制国有资本预算和执行方案；监缴市级行政事业单位经营性资产收益。</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8.负责对国有企业及行政事业单位国有资产实行监督管理,负责国有资产的产权界定、清产核资、资产评估、资产处置等项工作,确保国有资产运行安全、完善,提高使用效能。</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9.协调中央、省和外地在广国有企业改革发展中与地方相关的事宜。</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10.承办市委、市政府交办的其他事项。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2018年市国资委编制人数54人，其中参照公务员法管理人员28人，财政补助人员26人。年末实有人数51人，其中参照公务员法管理人员25人，财政补助人员26人。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ascii="仿宋" w:hAnsi="仿宋" w:eastAsia="仿宋" w:cs="仿宋_GB2312"/>
          <w:kern w:val="2"/>
          <w:sz w:val="32"/>
          <w:szCs w:val="32"/>
        </w:rPr>
        <w:t>201</w:t>
      </w:r>
      <w:r>
        <w:rPr>
          <w:rFonts w:hint="eastAsia" w:ascii="仿宋" w:hAnsi="仿宋" w:eastAsia="仿宋" w:cs="仿宋_GB2312"/>
          <w:kern w:val="2"/>
          <w:sz w:val="32"/>
          <w:szCs w:val="32"/>
        </w:rPr>
        <w:t>8年财政拨款收入总计7952.11万元，其中本年财政拨款收入7602.74万元，年初财政拨款结转和结余资金349.37万元。</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ascii="仿宋" w:hAnsi="仿宋" w:eastAsia="仿宋" w:cs="仿宋_GB2312"/>
          <w:kern w:val="2"/>
          <w:sz w:val="32"/>
          <w:szCs w:val="32"/>
        </w:rPr>
        <w:t>201</w:t>
      </w:r>
      <w:r>
        <w:rPr>
          <w:rFonts w:hint="eastAsia" w:ascii="仿宋" w:hAnsi="仿宋" w:eastAsia="仿宋" w:cs="仿宋_GB2312"/>
          <w:kern w:val="2"/>
          <w:sz w:val="32"/>
          <w:szCs w:val="32"/>
        </w:rPr>
        <w:t>8年财政拨款支出2363.73万元，主要用于以下方面</w:t>
      </w:r>
      <w:r>
        <w:rPr>
          <w:rFonts w:ascii="仿宋" w:hAnsi="仿宋" w:eastAsia="仿宋" w:cs="仿宋_GB2312"/>
          <w:kern w:val="2"/>
          <w:sz w:val="32"/>
          <w:szCs w:val="32"/>
        </w:rPr>
        <w:t>:</w:t>
      </w:r>
      <w:r>
        <w:rPr>
          <w:rFonts w:hint="eastAsia" w:ascii="仿宋" w:hAnsi="仿宋" w:eastAsia="仿宋" w:cs="仿宋_GB2312"/>
          <w:kern w:val="2"/>
          <w:sz w:val="32"/>
          <w:szCs w:val="32"/>
        </w:rPr>
        <w:t>一般公共服务（类）支出2.4万元，社会保障和就业（类）支出73.03万元，医疗卫生与计划生育（类）支出17.94万元，农林水支出（类）支出30万元，资源勘探信息等支出（类）支出1240.89万元，住房保障（类）支出989.48万元。</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（一）部门预算管理。</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部门预算管理</w:t>
      </w:r>
      <w:r>
        <w:rPr>
          <w:rFonts w:ascii="仿宋" w:hAnsi="仿宋" w:eastAsia="仿宋" w:cs="仿宋_GB2312"/>
          <w:kern w:val="2"/>
          <w:sz w:val="32"/>
          <w:szCs w:val="32"/>
        </w:rPr>
        <w:t>坚持全口径预算编制和分配原则，做到应编尽编</w:t>
      </w:r>
      <w:r>
        <w:rPr>
          <w:rFonts w:hint="eastAsia" w:ascii="仿宋" w:hAnsi="仿宋" w:eastAsia="仿宋" w:cs="仿宋_GB2312"/>
          <w:kern w:val="2"/>
          <w:sz w:val="32"/>
          <w:szCs w:val="32"/>
        </w:rPr>
        <w:t>，使</w:t>
      </w:r>
      <w:r>
        <w:rPr>
          <w:rFonts w:ascii="仿宋" w:hAnsi="仿宋" w:eastAsia="仿宋" w:cs="仿宋_GB2312"/>
          <w:kern w:val="2"/>
          <w:sz w:val="32"/>
          <w:szCs w:val="32"/>
        </w:rPr>
        <w:t>预算分配与预算批复安全相符。</w:t>
      </w:r>
      <w:r>
        <w:rPr>
          <w:rFonts w:hint="eastAsia" w:ascii="仿宋" w:hAnsi="仿宋" w:eastAsia="仿宋" w:cs="仿宋_GB2312"/>
          <w:kern w:val="2"/>
          <w:sz w:val="32"/>
          <w:szCs w:val="32"/>
        </w:rPr>
        <w:t>一是认真领会有关文件精神，合理安排工作重点、时间节点，不断加强对软件应用、报表填报、编制口径等要求的学习，根据国资监管工作需要，由各科室提出资金需求，汇总编制部门预算。二是认真编制绩效目标。根据市财政局安排部署，严格按照绩效目标与部门预算管理同步安排、同步编制、同步审核、同步上报、同步公开的管理要求，按照预算批复数严格把控资金支出，做到了绩效目标管理与预算执行管理紧密结合。全年实现预算支出7443.72万元，完成预算的92.44%。</w:t>
      </w:r>
    </w:p>
    <w:p>
      <w:pPr>
        <w:spacing w:line="580" w:lineRule="exact"/>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（二）专项预算管理。</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专项预算管理坚持专人管理，专项入账，专款专用原则。按市委、市政府的重大决策部署和国资监管工作重点工作，安排经费预算，严格按照任务合同书中的预算开支经费、转拨资金，保证项目资金支出规范、运行安全。</w:t>
      </w:r>
    </w:p>
    <w:p>
      <w:pPr>
        <w:spacing w:line="580" w:lineRule="exact"/>
        <w:ind w:firstLine="640" w:firstLineChars="200"/>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（三）结果应用情况。</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我委对绩效评价发现的问题认真整改，不断促进预算执行管理和绩效目标管理紧密结合，在安排下一年度预算和专项资金时，将绩效评价与资金的安排挂钩，优化资金使用效率。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2018 年，广元市人民政府国有资产监督管理委员会较好地完成了绩效目标任务，有效保障了正常运转，切实履行了国有资本出资人责任。从部门预算管理、专项预算管理、绩效结果应用等方面进行自评，总得分为 91分。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预算编制精准度不够、支出预算执行进度还需加快。</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pStyle w:val="5"/>
        <w:adjustRightInd w:val="0"/>
        <w:snapToGrid w:val="0"/>
        <w:spacing w:before="93" w:line="600" w:lineRule="exact"/>
        <w:ind w:firstLine="672" w:firstLineChars="210"/>
        <w:outlineLvl w:val="2"/>
        <w:rPr>
          <w:rFonts w:ascii="仿宋" w:hAnsi="仿宋" w:eastAsia="仿宋" w:cs="仿宋_GB2312"/>
          <w:kern w:val="2"/>
          <w:sz w:val="32"/>
          <w:szCs w:val="32"/>
        </w:rPr>
      </w:pPr>
      <w:r>
        <w:rPr>
          <w:rFonts w:hint="eastAsia" w:ascii="仿宋" w:hAnsi="仿宋" w:eastAsia="仿宋" w:cs="仿宋_GB2312"/>
          <w:kern w:val="2"/>
          <w:sz w:val="32"/>
          <w:szCs w:val="32"/>
        </w:rPr>
        <w:t>我委将进一步提高部门预算编制的科学性、规范性和准确性，提高预算执行效率，加大部门预算绩效管理工作力度，将绩效评价结果作为项目设立和安排的重要依据，确保财政资金绩效管理水平不断提升。</w:t>
      </w:r>
    </w:p>
    <w:p>
      <w:pPr>
        <w:spacing w:line="580" w:lineRule="exact"/>
        <w:ind w:firstLine="640" w:firstLineChars="200"/>
        <w:rPr>
          <w:rFonts w:ascii="仿宋" w:hAnsi="仿宋" w:eastAsia="仿宋" w:cs="仿宋_GB2312"/>
          <w:color w:val="FF0000"/>
          <w:sz w:val="32"/>
          <w:szCs w:val="32"/>
        </w:rPr>
      </w:pPr>
    </w:p>
    <w:p>
      <w:pPr>
        <w:widowControl/>
        <w:jc w:val="left"/>
        <w:rPr>
          <w:rStyle w:val="25"/>
          <w:rFonts w:ascii="仿宋" w:hAnsi="仿宋" w:eastAsia="仿宋"/>
          <w:sz w:val="32"/>
          <w:szCs w:val="32"/>
        </w:rPr>
      </w:pPr>
      <w:bookmarkStart w:id="61" w:name="_Toc15396617"/>
    </w:p>
    <w:bookmarkEnd w:id="61"/>
    <w:p>
      <w:pPr>
        <w:spacing w:line="600" w:lineRule="exact"/>
        <w:jc w:val="center"/>
        <w:outlineLvl w:val="0"/>
        <w:rPr>
          <w:rStyle w:val="25"/>
          <w:rFonts w:ascii="黑体" w:hAnsi="黑体" w:eastAsia="黑体"/>
          <w:b w:val="0"/>
        </w:rPr>
      </w:pPr>
      <w:bookmarkStart w:id="62"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62"/>
    </w:p>
    <w:p>
      <w:pPr>
        <w:spacing w:line="600" w:lineRule="exact"/>
        <w:jc w:val="center"/>
        <w:outlineLvl w:val="0"/>
        <w:rPr>
          <w:rStyle w:val="25"/>
          <w:rFonts w:ascii="黑体" w:hAnsi="黑体" w:eastAsia="黑体"/>
          <w:b w:val="0"/>
        </w:rPr>
      </w:pPr>
    </w:p>
    <w:p>
      <w:pPr>
        <w:pStyle w:val="3"/>
        <w:rPr>
          <w:rFonts w:ascii="仿宋" w:hAnsi="仿宋" w:eastAsia="仿宋"/>
          <w:color w:val="000000"/>
        </w:rPr>
      </w:pPr>
      <w:bookmarkStart w:id="63"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3"/>
    </w:p>
    <w:p>
      <w:pPr>
        <w:pStyle w:val="3"/>
        <w:rPr>
          <w:rFonts w:ascii="仿宋" w:hAnsi="仿宋" w:eastAsia="仿宋"/>
          <w:color w:val="000000"/>
        </w:rPr>
      </w:pPr>
      <w:bookmarkStart w:id="64"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4"/>
    </w:p>
    <w:p>
      <w:pPr>
        <w:pStyle w:val="3"/>
        <w:rPr>
          <w:rFonts w:ascii="仿宋" w:hAnsi="仿宋" w:eastAsia="仿宋"/>
          <w:color w:val="000000"/>
        </w:rPr>
      </w:pPr>
      <w:bookmarkStart w:id="65"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5"/>
    </w:p>
    <w:p>
      <w:pPr>
        <w:pStyle w:val="3"/>
        <w:rPr>
          <w:rFonts w:ascii="仿宋" w:hAnsi="仿宋" w:eastAsia="仿宋"/>
          <w:b w:val="0"/>
          <w:color w:val="000000"/>
        </w:rPr>
      </w:pPr>
      <w:bookmarkStart w:id="66"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6"/>
    </w:p>
    <w:p>
      <w:pPr>
        <w:pStyle w:val="3"/>
        <w:rPr>
          <w:rFonts w:ascii="仿宋" w:hAnsi="仿宋" w:eastAsia="仿宋"/>
          <w:color w:val="000000"/>
        </w:rPr>
      </w:pPr>
      <w:bookmarkStart w:id="67"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7"/>
    </w:p>
    <w:p>
      <w:pPr>
        <w:pStyle w:val="3"/>
        <w:rPr>
          <w:rFonts w:ascii="仿宋" w:hAnsi="仿宋" w:eastAsia="仿宋"/>
          <w:color w:val="000000"/>
        </w:rPr>
      </w:pPr>
      <w:bookmarkStart w:id="68"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8"/>
    </w:p>
    <w:p>
      <w:pPr>
        <w:pStyle w:val="3"/>
        <w:rPr>
          <w:rFonts w:ascii="仿宋" w:hAnsi="仿宋" w:eastAsia="仿宋"/>
          <w:color w:val="000000"/>
        </w:rPr>
      </w:pPr>
      <w:bookmarkStart w:id="69"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9"/>
    </w:p>
    <w:p>
      <w:pPr>
        <w:pStyle w:val="3"/>
        <w:rPr>
          <w:rFonts w:ascii="仿宋" w:hAnsi="仿宋" w:eastAsia="仿宋"/>
          <w:color w:val="000000"/>
        </w:rPr>
      </w:pPr>
      <w:bookmarkStart w:id="70"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70"/>
    </w:p>
    <w:p>
      <w:pPr>
        <w:pStyle w:val="3"/>
        <w:rPr>
          <w:rFonts w:ascii="仿宋" w:hAnsi="仿宋" w:eastAsia="仿宋"/>
          <w:color w:val="000000"/>
        </w:rPr>
      </w:pPr>
      <w:bookmarkStart w:id="71"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71"/>
    </w:p>
    <w:p>
      <w:pPr>
        <w:pStyle w:val="3"/>
        <w:rPr>
          <w:rFonts w:ascii="仿宋" w:hAnsi="仿宋" w:eastAsia="仿宋"/>
          <w:color w:val="000000"/>
        </w:rPr>
      </w:pPr>
      <w:bookmarkStart w:id="72"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72"/>
    </w:p>
    <w:p>
      <w:pPr>
        <w:pStyle w:val="3"/>
        <w:rPr>
          <w:rFonts w:ascii="仿宋" w:hAnsi="仿宋" w:eastAsia="仿宋"/>
          <w:color w:val="000000"/>
        </w:rPr>
      </w:pPr>
      <w:bookmarkStart w:id="73"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3"/>
    </w:p>
    <w:p>
      <w:pPr>
        <w:pStyle w:val="3"/>
        <w:rPr>
          <w:rFonts w:ascii="仿宋" w:hAnsi="仿宋" w:eastAsia="仿宋"/>
          <w:color w:val="000000"/>
        </w:rPr>
      </w:pPr>
      <w:bookmarkStart w:id="74"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4"/>
    </w:p>
    <w:p>
      <w:pPr>
        <w:pStyle w:val="3"/>
        <w:rPr>
          <w:rFonts w:ascii="仿宋" w:hAnsi="仿宋" w:eastAsia="仿宋"/>
          <w:color w:val="000000" w:themeColor="text1"/>
        </w:rPr>
      </w:pPr>
      <w:bookmarkStart w:id="75"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5"/>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27</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70B8"/>
    <w:rsid w:val="00011CCA"/>
    <w:rsid w:val="00012026"/>
    <w:rsid w:val="000222C6"/>
    <w:rsid w:val="0002549F"/>
    <w:rsid w:val="0003598D"/>
    <w:rsid w:val="00043A35"/>
    <w:rsid w:val="00053C7A"/>
    <w:rsid w:val="00061A2E"/>
    <w:rsid w:val="00063E8A"/>
    <w:rsid w:val="0006487A"/>
    <w:rsid w:val="00065F8F"/>
    <w:rsid w:val="000768F2"/>
    <w:rsid w:val="00085EB1"/>
    <w:rsid w:val="0009184B"/>
    <w:rsid w:val="000940FF"/>
    <w:rsid w:val="00095764"/>
    <w:rsid w:val="0009593C"/>
    <w:rsid w:val="000A0DF5"/>
    <w:rsid w:val="000B047F"/>
    <w:rsid w:val="000B5923"/>
    <w:rsid w:val="000B5A48"/>
    <w:rsid w:val="000B6FF3"/>
    <w:rsid w:val="000C1E24"/>
    <w:rsid w:val="000C3467"/>
    <w:rsid w:val="000C3CA6"/>
    <w:rsid w:val="000D1267"/>
    <w:rsid w:val="000D1D50"/>
    <w:rsid w:val="000D5782"/>
    <w:rsid w:val="000E6613"/>
    <w:rsid w:val="000E7119"/>
    <w:rsid w:val="00105AE4"/>
    <w:rsid w:val="00114E9B"/>
    <w:rsid w:val="00141EB6"/>
    <w:rsid w:val="0014729F"/>
    <w:rsid w:val="0015160F"/>
    <w:rsid w:val="00157BAB"/>
    <w:rsid w:val="001654D1"/>
    <w:rsid w:val="00176FF5"/>
    <w:rsid w:val="0018106D"/>
    <w:rsid w:val="001877A7"/>
    <w:rsid w:val="00191536"/>
    <w:rsid w:val="00196687"/>
    <w:rsid w:val="001A781A"/>
    <w:rsid w:val="001C0962"/>
    <w:rsid w:val="001D7531"/>
    <w:rsid w:val="001E737D"/>
    <w:rsid w:val="001F0592"/>
    <w:rsid w:val="001F7506"/>
    <w:rsid w:val="002006CD"/>
    <w:rsid w:val="00202B36"/>
    <w:rsid w:val="00204B7A"/>
    <w:rsid w:val="0021101A"/>
    <w:rsid w:val="002141CA"/>
    <w:rsid w:val="00220536"/>
    <w:rsid w:val="00235629"/>
    <w:rsid w:val="00246CD0"/>
    <w:rsid w:val="00252B7F"/>
    <w:rsid w:val="00260C38"/>
    <w:rsid w:val="002616C0"/>
    <w:rsid w:val="002638FA"/>
    <w:rsid w:val="002662AA"/>
    <w:rsid w:val="00280496"/>
    <w:rsid w:val="00295495"/>
    <w:rsid w:val="002A673A"/>
    <w:rsid w:val="002B2613"/>
    <w:rsid w:val="002F1818"/>
    <w:rsid w:val="002F21D3"/>
    <w:rsid w:val="002F567B"/>
    <w:rsid w:val="00302A6E"/>
    <w:rsid w:val="003216A9"/>
    <w:rsid w:val="00351C25"/>
    <w:rsid w:val="00354243"/>
    <w:rsid w:val="003555D9"/>
    <w:rsid w:val="0037013F"/>
    <w:rsid w:val="00380C92"/>
    <w:rsid w:val="003A2F58"/>
    <w:rsid w:val="003A484F"/>
    <w:rsid w:val="003B0BE0"/>
    <w:rsid w:val="003B0C1B"/>
    <w:rsid w:val="003B31B3"/>
    <w:rsid w:val="003B688C"/>
    <w:rsid w:val="003C0291"/>
    <w:rsid w:val="003C077E"/>
    <w:rsid w:val="003C39AE"/>
    <w:rsid w:val="003C7B60"/>
    <w:rsid w:val="003D1FB2"/>
    <w:rsid w:val="003D66DA"/>
    <w:rsid w:val="003E1310"/>
    <w:rsid w:val="003E6F55"/>
    <w:rsid w:val="00403E9A"/>
    <w:rsid w:val="004046B2"/>
    <w:rsid w:val="00406254"/>
    <w:rsid w:val="00406601"/>
    <w:rsid w:val="004079CC"/>
    <w:rsid w:val="004223DE"/>
    <w:rsid w:val="00425A05"/>
    <w:rsid w:val="00434489"/>
    <w:rsid w:val="00437085"/>
    <w:rsid w:val="00443880"/>
    <w:rsid w:val="004464F4"/>
    <w:rsid w:val="004711F9"/>
    <w:rsid w:val="00471401"/>
    <w:rsid w:val="00473F31"/>
    <w:rsid w:val="0048263A"/>
    <w:rsid w:val="00484C34"/>
    <w:rsid w:val="00487E5D"/>
    <w:rsid w:val="0049485C"/>
    <w:rsid w:val="004A711F"/>
    <w:rsid w:val="004B0C44"/>
    <w:rsid w:val="004B199D"/>
    <w:rsid w:val="004B4690"/>
    <w:rsid w:val="004B7F70"/>
    <w:rsid w:val="004C3ED9"/>
    <w:rsid w:val="004E0A2D"/>
    <w:rsid w:val="004E206B"/>
    <w:rsid w:val="004E6DF7"/>
    <w:rsid w:val="004F0FBD"/>
    <w:rsid w:val="00504295"/>
    <w:rsid w:val="00505A47"/>
    <w:rsid w:val="00512FDA"/>
    <w:rsid w:val="00520DA0"/>
    <w:rsid w:val="0054509B"/>
    <w:rsid w:val="00547610"/>
    <w:rsid w:val="005537A7"/>
    <w:rsid w:val="005664BB"/>
    <w:rsid w:val="0057481D"/>
    <w:rsid w:val="005765F6"/>
    <w:rsid w:val="0058486E"/>
    <w:rsid w:val="005863B1"/>
    <w:rsid w:val="005A1FD4"/>
    <w:rsid w:val="005B7878"/>
    <w:rsid w:val="005D1C8B"/>
    <w:rsid w:val="005D5CED"/>
    <w:rsid w:val="005F1A4C"/>
    <w:rsid w:val="00605688"/>
    <w:rsid w:val="006070AF"/>
    <w:rsid w:val="00607E6C"/>
    <w:rsid w:val="006101B1"/>
    <w:rsid w:val="00614E44"/>
    <w:rsid w:val="00622830"/>
    <w:rsid w:val="006276D8"/>
    <w:rsid w:val="00630AEF"/>
    <w:rsid w:val="006325F8"/>
    <w:rsid w:val="006340EA"/>
    <w:rsid w:val="00634C9A"/>
    <w:rsid w:val="006440E4"/>
    <w:rsid w:val="006516C7"/>
    <w:rsid w:val="00652D06"/>
    <w:rsid w:val="0066343B"/>
    <w:rsid w:val="00664777"/>
    <w:rsid w:val="0067043C"/>
    <w:rsid w:val="006748A4"/>
    <w:rsid w:val="00683E73"/>
    <w:rsid w:val="00684AA0"/>
    <w:rsid w:val="00687188"/>
    <w:rsid w:val="006A2204"/>
    <w:rsid w:val="006A3141"/>
    <w:rsid w:val="006A5E34"/>
    <w:rsid w:val="006B2422"/>
    <w:rsid w:val="006B2B9A"/>
    <w:rsid w:val="006B481F"/>
    <w:rsid w:val="006B5759"/>
    <w:rsid w:val="006C1937"/>
    <w:rsid w:val="006D19E9"/>
    <w:rsid w:val="006D5EB2"/>
    <w:rsid w:val="006D63C2"/>
    <w:rsid w:val="006F020C"/>
    <w:rsid w:val="006F0E6A"/>
    <w:rsid w:val="00704520"/>
    <w:rsid w:val="00711ABB"/>
    <w:rsid w:val="007127B7"/>
    <w:rsid w:val="007307F4"/>
    <w:rsid w:val="007416B6"/>
    <w:rsid w:val="00746F48"/>
    <w:rsid w:val="0075012C"/>
    <w:rsid w:val="0075404D"/>
    <w:rsid w:val="0076182A"/>
    <w:rsid w:val="00762944"/>
    <w:rsid w:val="00767B7E"/>
    <w:rsid w:val="0077353C"/>
    <w:rsid w:val="007770C3"/>
    <w:rsid w:val="00782F0A"/>
    <w:rsid w:val="00784D24"/>
    <w:rsid w:val="00785FBA"/>
    <w:rsid w:val="00786E4A"/>
    <w:rsid w:val="007875EB"/>
    <w:rsid w:val="0079426B"/>
    <w:rsid w:val="007C5C02"/>
    <w:rsid w:val="007D312A"/>
    <w:rsid w:val="007D3ACA"/>
    <w:rsid w:val="007D3F19"/>
    <w:rsid w:val="007E23B0"/>
    <w:rsid w:val="007F1991"/>
    <w:rsid w:val="007F2C2F"/>
    <w:rsid w:val="007F3B10"/>
    <w:rsid w:val="007F55FC"/>
    <w:rsid w:val="007F5665"/>
    <w:rsid w:val="00800112"/>
    <w:rsid w:val="008102BB"/>
    <w:rsid w:val="008253BB"/>
    <w:rsid w:val="00826936"/>
    <w:rsid w:val="0083706E"/>
    <w:rsid w:val="008423A5"/>
    <w:rsid w:val="008457BD"/>
    <w:rsid w:val="00850625"/>
    <w:rsid w:val="00853718"/>
    <w:rsid w:val="00855221"/>
    <w:rsid w:val="00860645"/>
    <w:rsid w:val="008616F0"/>
    <w:rsid w:val="00862FF5"/>
    <w:rsid w:val="00871F71"/>
    <w:rsid w:val="00873E87"/>
    <w:rsid w:val="00885AF4"/>
    <w:rsid w:val="008939CD"/>
    <w:rsid w:val="00894494"/>
    <w:rsid w:val="008B768C"/>
    <w:rsid w:val="008C4DB1"/>
    <w:rsid w:val="008C4EAF"/>
    <w:rsid w:val="008C5176"/>
    <w:rsid w:val="008C7FD0"/>
    <w:rsid w:val="008D5193"/>
    <w:rsid w:val="008D5D05"/>
    <w:rsid w:val="008E1DE7"/>
    <w:rsid w:val="008E707C"/>
    <w:rsid w:val="00900B08"/>
    <w:rsid w:val="00902155"/>
    <w:rsid w:val="00902FA3"/>
    <w:rsid w:val="009069B5"/>
    <w:rsid w:val="00923564"/>
    <w:rsid w:val="0092392E"/>
    <w:rsid w:val="009315F9"/>
    <w:rsid w:val="00933590"/>
    <w:rsid w:val="00934895"/>
    <w:rsid w:val="00946945"/>
    <w:rsid w:val="00951248"/>
    <w:rsid w:val="0095152F"/>
    <w:rsid w:val="00954C49"/>
    <w:rsid w:val="00962523"/>
    <w:rsid w:val="0097099F"/>
    <w:rsid w:val="00971997"/>
    <w:rsid w:val="00971FFC"/>
    <w:rsid w:val="0098660A"/>
    <w:rsid w:val="009931C3"/>
    <w:rsid w:val="009B2C43"/>
    <w:rsid w:val="009B4EAE"/>
    <w:rsid w:val="009B7573"/>
    <w:rsid w:val="009C22F4"/>
    <w:rsid w:val="009C2E98"/>
    <w:rsid w:val="009D3447"/>
    <w:rsid w:val="009D4711"/>
    <w:rsid w:val="009E11D5"/>
    <w:rsid w:val="009E7DDA"/>
    <w:rsid w:val="009F1185"/>
    <w:rsid w:val="009F18CD"/>
    <w:rsid w:val="009F2A13"/>
    <w:rsid w:val="00A04EB0"/>
    <w:rsid w:val="00A13CC1"/>
    <w:rsid w:val="00A16847"/>
    <w:rsid w:val="00A237D8"/>
    <w:rsid w:val="00A25C97"/>
    <w:rsid w:val="00A268C4"/>
    <w:rsid w:val="00A307CD"/>
    <w:rsid w:val="00A324DB"/>
    <w:rsid w:val="00A34A28"/>
    <w:rsid w:val="00A36395"/>
    <w:rsid w:val="00A40308"/>
    <w:rsid w:val="00A40A00"/>
    <w:rsid w:val="00A4142F"/>
    <w:rsid w:val="00A55A90"/>
    <w:rsid w:val="00A56DF2"/>
    <w:rsid w:val="00A67AB5"/>
    <w:rsid w:val="00A736A1"/>
    <w:rsid w:val="00A775F5"/>
    <w:rsid w:val="00A77887"/>
    <w:rsid w:val="00A865C2"/>
    <w:rsid w:val="00A91760"/>
    <w:rsid w:val="00A93B00"/>
    <w:rsid w:val="00A93C21"/>
    <w:rsid w:val="00AA0088"/>
    <w:rsid w:val="00AA267B"/>
    <w:rsid w:val="00AB06AB"/>
    <w:rsid w:val="00AC3C6A"/>
    <w:rsid w:val="00AC450F"/>
    <w:rsid w:val="00AD5620"/>
    <w:rsid w:val="00AD61BB"/>
    <w:rsid w:val="00AD7C1B"/>
    <w:rsid w:val="00AE16BA"/>
    <w:rsid w:val="00AE1EBE"/>
    <w:rsid w:val="00B03C9D"/>
    <w:rsid w:val="00B060AE"/>
    <w:rsid w:val="00B10517"/>
    <w:rsid w:val="00B10826"/>
    <w:rsid w:val="00B13024"/>
    <w:rsid w:val="00B149AE"/>
    <w:rsid w:val="00B14E76"/>
    <w:rsid w:val="00B161B8"/>
    <w:rsid w:val="00B174FE"/>
    <w:rsid w:val="00B2048C"/>
    <w:rsid w:val="00B310B9"/>
    <w:rsid w:val="00B35F3F"/>
    <w:rsid w:val="00B36CBB"/>
    <w:rsid w:val="00B425E0"/>
    <w:rsid w:val="00B440AA"/>
    <w:rsid w:val="00B44B70"/>
    <w:rsid w:val="00B51604"/>
    <w:rsid w:val="00B53C56"/>
    <w:rsid w:val="00B56B9F"/>
    <w:rsid w:val="00B77EA6"/>
    <w:rsid w:val="00B81598"/>
    <w:rsid w:val="00B841F1"/>
    <w:rsid w:val="00B944D6"/>
    <w:rsid w:val="00BA775E"/>
    <w:rsid w:val="00BB4DF0"/>
    <w:rsid w:val="00BC289F"/>
    <w:rsid w:val="00BC5361"/>
    <w:rsid w:val="00BC5460"/>
    <w:rsid w:val="00BC6B50"/>
    <w:rsid w:val="00BD0E25"/>
    <w:rsid w:val="00BF5BD6"/>
    <w:rsid w:val="00C02DAF"/>
    <w:rsid w:val="00C03E31"/>
    <w:rsid w:val="00C20B4E"/>
    <w:rsid w:val="00C33E72"/>
    <w:rsid w:val="00C354B2"/>
    <w:rsid w:val="00C35554"/>
    <w:rsid w:val="00C359C3"/>
    <w:rsid w:val="00C42709"/>
    <w:rsid w:val="00C47C90"/>
    <w:rsid w:val="00C533CC"/>
    <w:rsid w:val="00C55EE1"/>
    <w:rsid w:val="00C5751C"/>
    <w:rsid w:val="00C61BFC"/>
    <w:rsid w:val="00C62B85"/>
    <w:rsid w:val="00C65438"/>
    <w:rsid w:val="00C84965"/>
    <w:rsid w:val="00C87D29"/>
    <w:rsid w:val="00C91CBB"/>
    <w:rsid w:val="00C928BF"/>
    <w:rsid w:val="00C94B73"/>
    <w:rsid w:val="00CC0801"/>
    <w:rsid w:val="00CC09B6"/>
    <w:rsid w:val="00CC3D46"/>
    <w:rsid w:val="00CC666F"/>
    <w:rsid w:val="00CD1E3F"/>
    <w:rsid w:val="00CE44F6"/>
    <w:rsid w:val="00CE49DA"/>
    <w:rsid w:val="00CE7B61"/>
    <w:rsid w:val="00CF5AEA"/>
    <w:rsid w:val="00D00095"/>
    <w:rsid w:val="00D025AB"/>
    <w:rsid w:val="00D130DC"/>
    <w:rsid w:val="00D20620"/>
    <w:rsid w:val="00D22D20"/>
    <w:rsid w:val="00D26091"/>
    <w:rsid w:val="00D26A30"/>
    <w:rsid w:val="00D34E7C"/>
    <w:rsid w:val="00D35489"/>
    <w:rsid w:val="00D51276"/>
    <w:rsid w:val="00D7035F"/>
    <w:rsid w:val="00D71F88"/>
    <w:rsid w:val="00D95F1F"/>
    <w:rsid w:val="00DA63AA"/>
    <w:rsid w:val="00DA65AC"/>
    <w:rsid w:val="00DB1913"/>
    <w:rsid w:val="00DC410D"/>
    <w:rsid w:val="00DC68CA"/>
    <w:rsid w:val="00DC7CBA"/>
    <w:rsid w:val="00DD0B98"/>
    <w:rsid w:val="00DD73B7"/>
    <w:rsid w:val="00DE4B51"/>
    <w:rsid w:val="00DF0264"/>
    <w:rsid w:val="00DF28BC"/>
    <w:rsid w:val="00DF2C09"/>
    <w:rsid w:val="00DF34B9"/>
    <w:rsid w:val="00E01053"/>
    <w:rsid w:val="00E02476"/>
    <w:rsid w:val="00E06CAF"/>
    <w:rsid w:val="00E07AB8"/>
    <w:rsid w:val="00E07ACF"/>
    <w:rsid w:val="00E1605A"/>
    <w:rsid w:val="00E24F70"/>
    <w:rsid w:val="00E331A1"/>
    <w:rsid w:val="00E33202"/>
    <w:rsid w:val="00E336A9"/>
    <w:rsid w:val="00E50624"/>
    <w:rsid w:val="00E568DF"/>
    <w:rsid w:val="00E64269"/>
    <w:rsid w:val="00E82267"/>
    <w:rsid w:val="00EA010F"/>
    <w:rsid w:val="00EA3439"/>
    <w:rsid w:val="00EC088C"/>
    <w:rsid w:val="00EC2B6C"/>
    <w:rsid w:val="00ED1B63"/>
    <w:rsid w:val="00ED3C1F"/>
    <w:rsid w:val="00ED4085"/>
    <w:rsid w:val="00ED420E"/>
    <w:rsid w:val="00EE2F57"/>
    <w:rsid w:val="00EF18DB"/>
    <w:rsid w:val="00EF4C34"/>
    <w:rsid w:val="00EF77C6"/>
    <w:rsid w:val="00F05438"/>
    <w:rsid w:val="00F100C7"/>
    <w:rsid w:val="00F1226F"/>
    <w:rsid w:val="00F1361C"/>
    <w:rsid w:val="00F160C7"/>
    <w:rsid w:val="00F224E4"/>
    <w:rsid w:val="00F30F18"/>
    <w:rsid w:val="00F36D8F"/>
    <w:rsid w:val="00F417B1"/>
    <w:rsid w:val="00F446E7"/>
    <w:rsid w:val="00F602DF"/>
    <w:rsid w:val="00F61AE7"/>
    <w:rsid w:val="00F81FD9"/>
    <w:rsid w:val="00F841AA"/>
    <w:rsid w:val="00F938DD"/>
    <w:rsid w:val="00FA23E8"/>
    <w:rsid w:val="00FC34B6"/>
    <w:rsid w:val="00FD3CC1"/>
    <w:rsid w:val="00FE269A"/>
    <w:rsid w:val="00FF1E02"/>
    <w:rsid w:val="00FF30B4"/>
    <w:rsid w:val="10C055FF"/>
    <w:rsid w:val="16BB723D"/>
    <w:rsid w:val="240371BF"/>
    <w:rsid w:val="29FD04D3"/>
    <w:rsid w:val="319F7F4E"/>
    <w:rsid w:val="BFDFC5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36</Pages>
  <Words>2614</Words>
  <Characters>14905</Characters>
  <Lines>124</Lines>
  <Paragraphs>34</Paragraphs>
  <TotalTime>1703</TotalTime>
  <ScaleCrop>false</ScaleCrop>
  <LinksUpToDate>false</LinksUpToDate>
  <CharactersWithSpaces>17485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2019-09-17T16:59:00Z</dcterms:created>
  <dc:creator>张彬茜</dc:creator>
  <cp:lastModifiedBy>明燕</cp:lastModifiedBy>
  <cp:lastPrinted>2019-09-25T08:59:00Z</cp:lastPrinted>
  <dcterms:modified xsi:type="dcterms:W3CDTF">2024-12-03T10:19:05Z</dcterms:modified>
  <dc:title>四川省***</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