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3D" w:rsidRDefault="00CF6F3D" w:rsidP="00EC1E68">
      <w:pPr>
        <w:spacing w:line="576" w:lineRule="exact"/>
        <w:jc w:val="center"/>
        <w:rPr>
          <w:rFonts w:ascii="黑体" w:eastAsia="黑体" w:hAnsi="黑体"/>
          <w:sz w:val="36"/>
          <w:szCs w:val="36"/>
        </w:rPr>
      </w:pPr>
      <w:r w:rsidRPr="00CF6F3D">
        <w:rPr>
          <w:rFonts w:ascii="黑体" w:eastAsia="黑体" w:hAnsi="黑体" w:hint="eastAsia"/>
          <w:sz w:val="36"/>
          <w:szCs w:val="36"/>
        </w:rPr>
        <w:t>政策措施“添力加火” 集合效应不断显现</w:t>
      </w:r>
    </w:p>
    <w:p w:rsidR="00CF6F3D" w:rsidRPr="00CF6F3D" w:rsidRDefault="00CF6F3D" w:rsidP="00CF6F3D">
      <w:pPr>
        <w:spacing w:line="576" w:lineRule="exact"/>
        <w:jc w:val="center"/>
        <w:rPr>
          <w:rFonts w:ascii="黑体" w:eastAsia="黑体" w:hAnsi="黑体"/>
          <w:sz w:val="36"/>
          <w:szCs w:val="36"/>
        </w:rPr>
      </w:pPr>
    </w:p>
    <w:p w:rsidR="00CF6F3D" w:rsidRP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今年以来，面对错综复杂的国内外形势，党中央、国务院审时度势、果断决策，出台了一系列稳增长、促改革、调结构、惠民生、防风险政策，综合施策，强化落实，激发增长潜力、释放改革红利、推动转型升级、促进民生改善、强化风险管控，政策集合效应不断释放，经济运行呈现稳中有进、稳中向好的发展态势。</w:t>
      </w:r>
    </w:p>
    <w:p w:rsidR="00CF6F3D" w:rsidRPr="00CF6F3D" w:rsidRDefault="00CF6F3D" w:rsidP="00CF6F3D">
      <w:pPr>
        <w:spacing w:line="576" w:lineRule="exact"/>
        <w:ind w:firstLineChars="200" w:firstLine="640"/>
        <w:rPr>
          <w:rFonts w:ascii="黑体" w:eastAsia="黑体" w:hAnsi="黑体"/>
          <w:sz w:val="32"/>
          <w:szCs w:val="32"/>
        </w:rPr>
      </w:pPr>
      <w:r w:rsidRPr="00CF6F3D">
        <w:rPr>
          <w:rFonts w:ascii="黑体" w:eastAsia="黑体" w:hAnsi="黑体" w:hint="eastAsia"/>
          <w:sz w:val="32"/>
          <w:szCs w:val="32"/>
        </w:rPr>
        <w:t>稳增长政策组合发力，经济运行总体平稳</w:t>
      </w:r>
    </w:p>
    <w:p w:rsidR="00CF6F3D" w:rsidRP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稳增长政策出实招、出准招，有效应对了经济下行压力，前三季度国内生产总值同比增长6.9%，主要经济指标继续运行在合理区间。</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创新宏观调控方式。主动适应经济增速放缓的客观规律，在坚持区间调控基础上，更加精准有效地实施定向调控和相机调控，经济向好的基本面得到巩固。实施供需双侧管理，在注重需求管理的同时，强调扩大有效供给，着力熨平经济短期波动，化解深层次矛盾，提升经济增长潜能。增强政策的协调性，强化财政、货币、投资、价格、区域和产业等政策的协调配合，确保经济行稳致远。</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强化宏观调控政策。继续实施积极的财政政策和稳健的货币政策，适时适度预调微调，稳定发展预期。通过扩大政府支出、盘活财政存量资金、结构性减税、普遍性降费等财政政策措施，既扩大了总需求，减轻了企业负担，也使重点领域支出得到较好保障。通过多次降准和降息，及时采取逆</w:t>
      </w:r>
      <w:r w:rsidRPr="00CF6F3D">
        <w:rPr>
          <w:rFonts w:ascii="仿宋" w:eastAsia="仿宋" w:hAnsi="仿宋" w:hint="eastAsia"/>
          <w:sz w:val="32"/>
          <w:szCs w:val="32"/>
        </w:rPr>
        <w:lastRenderedPageBreak/>
        <w:t>回购等公开市场操作，引导市场利率下行，缓解市场流动性偏紧局面，带动信贷需求和投放增加，有力支持了实体经济发展。1—9月，全国一般公共预算支出增长16.4%，较上年同期加快2.7个百分点。9月末，广义货币（M2）增速13.1%，达到预期目标。各方对今年出台的各项经济政策评价反映普遍积极，据国家信息中心互联网大数据分析显示，网民对政策的满意度达到90%以上。</w:t>
      </w:r>
    </w:p>
    <w:p w:rsidR="00CF6F3D" w:rsidRP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挖掘三大需求潜力。切实扩大有效投资，在去年设置七大投资工程包基础上，今年又新增四大投资工程包，下调了除过剩行业外的投资项目最低资本金比例5—10个百分点，发行专项债为政府公共投资筹措资金。目前中央投资计划已全部下达，这些投资有利于补短板、打基础、增后劲。稳定消费需求，推出六大领域消费工程，将消费金融公司试点扩大到全国，巩固了消费平稳增长势头，消费结构升级不断加快。社会消费品零售总额增速持续6个月回升，通讯器材类商品和网上零售继续保持30%以上的快速增长，旅游消费发展态势较好。促进出口好转，通过实施新增自由贸易试验区、促进服务贸易和跨境电子商务发展等政策措施，着力扭转出口负增长局面。截至9月，出口增速降幅已连续2个月收窄，我国对主要贸易伙伴的出口情况均出现改善，后市预期向好。</w:t>
      </w:r>
    </w:p>
    <w:p w:rsidR="00CF6F3D" w:rsidRPr="00CF6F3D" w:rsidRDefault="00CF6F3D" w:rsidP="00CF6F3D">
      <w:pPr>
        <w:spacing w:line="576" w:lineRule="exact"/>
        <w:ind w:firstLineChars="200" w:firstLine="640"/>
        <w:rPr>
          <w:rFonts w:ascii="黑体" w:eastAsia="黑体" w:hAnsi="黑体"/>
          <w:sz w:val="32"/>
          <w:szCs w:val="32"/>
        </w:rPr>
      </w:pPr>
      <w:r w:rsidRPr="00CF6F3D">
        <w:rPr>
          <w:rFonts w:ascii="黑体" w:eastAsia="黑体" w:hAnsi="黑体" w:hint="eastAsia"/>
          <w:sz w:val="32"/>
          <w:szCs w:val="32"/>
        </w:rPr>
        <w:t>改革开放纵深推进，发展难题正在破解</w:t>
      </w:r>
    </w:p>
    <w:p w:rsidR="00CF6F3D" w:rsidRP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出台了一批重点领域改革方案，创新和完善工作机制，改革取得了重要进展和阶段性成效，制度红利持续释放。</w:t>
      </w:r>
    </w:p>
    <w:p w:rsidR="00CF6F3D" w:rsidRDefault="00CF6F3D" w:rsidP="00CF6F3D">
      <w:pPr>
        <w:spacing w:line="576" w:lineRule="exact"/>
        <w:rPr>
          <w:rFonts w:ascii="仿宋" w:eastAsia="仿宋" w:hAnsi="仿宋"/>
          <w:sz w:val="32"/>
          <w:szCs w:val="32"/>
        </w:rPr>
      </w:pPr>
      <w:r w:rsidRPr="00CF6F3D">
        <w:rPr>
          <w:rFonts w:ascii="仿宋" w:eastAsia="仿宋" w:hAnsi="仿宋" w:hint="eastAsia"/>
          <w:sz w:val="32"/>
          <w:szCs w:val="32"/>
        </w:rPr>
        <w:t>行政审批改革增强市场主体活力。简政放权、放管结合、优</w:t>
      </w:r>
      <w:r w:rsidRPr="00CF6F3D">
        <w:rPr>
          <w:rFonts w:ascii="仿宋" w:eastAsia="仿宋" w:hAnsi="仿宋" w:hint="eastAsia"/>
          <w:sz w:val="32"/>
          <w:szCs w:val="32"/>
        </w:rPr>
        <w:lastRenderedPageBreak/>
        <w:t>化服务“三管齐下”，推进“三证合一、一照一码”登记制度改革，中央层面的投资项目在线审批监管平台横向系统开始试运行。改革后市场准入程序更为便利、内容更为完善、流程更为优化、资源更为集约，降低了投资创业成本。前三季度全国新登记市场主体1065.5万户，同比增长15.8%，平均每天新登记企业达1.16万户</w:t>
      </w:r>
      <w:r>
        <w:rPr>
          <w:rFonts w:ascii="仿宋" w:eastAsia="仿宋" w:hAnsi="仿宋" w:hint="eastAsia"/>
          <w:sz w:val="32"/>
          <w:szCs w:val="32"/>
        </w:rPr>
        <w:t>.</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财税改革综合成效显现。预算制度向着全面规范、公开透明的方向不断迈进，提升了资金使用效率。营改增进一步推进，减税降费力度不断加大，预计全年可减税4000亿元，强化了税制对经济的调节作用。大力推广政府和社会资本合作（PPP）模式，发挥财政资金“四两拨千斤”的引领作用。去年年底以来，财政部推出了236个国家级PPP示范项目，总金额达7400亿元，国家设立1800亿元中央级PPP融资支持基金，一些省份陆续推出千亿元级规模PPP发展投资基金，有效带动了社会投资，提升了公共产品和公共服务的供给效率。</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金融改革增强实体经济支撑作用。第一批五家试点民营银行全部开业，第二批民营银行筹备设立，民资设立商业银行全面铺开，在提升微观金融效率、缓解小微企业融资难方面发挥了积极作用。利率市场化改革取得突破，拓宽了金融市场参与者范围，有效降低了社会融资成本。人民币汇率形成机制改革朝更加市场化的方面迈进，兑美元汇率中间报价机制改革纠正了此前人民币汇率显著高估的偏差。资本项目开放和人民币国际化改革有序推进，人民币已成为全球第二</w:t>
      </w:r>
      <w:r w:rsidRPr="00CF6F3D">
        <w:rPr>
          <w:rFonts w:ascii="仿宋" w:eastAsia="仿宋" w:hAnsi="仿宋" w:hint="eastAsia"/>
          <w:sz w:val="32"/>
          <w:szCs w:val="32"/>
        </w:rPr>
        <w:lastRenderedPageBreak/>
        <w:t>大贸易融资货币及第四大支付货币。</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国有企业改革提高国资运行效率。深化国有企业改革，发展混合所有制经济，推进了国有经济布局战略性调整，并加快培育和重构了更具活力和效益的微观市场主体。目前已有20多个省（市、区）出台了国企改革方案和配套措施，通过股权多元化、整体上市、员工持股、科研院所改制等方式，积极稳妥推进混合所有制改革。</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涉外体制改革提高开放水平。在总结中国（上海）自由贸易试验区经验基础上，复制推广外商投资管理、贸易监管、金融创新、政府监管等制度创新。外资审批制度改革稳步推进，外商投资项目实行备案制，新修订的外商投资产业指导目录限制类条目减少50%。“一带一路”建设取得了积极进展，“六廊六路、多港多路”建设全面展开，中塔公路二期、中亚天然气管道D线等项目加快推进，莫斯科至喀山高铁、中老铁路、中泰铁路等项目合作进展有序。</w:t>
      </w:r>
    </w:p>
    <w:p w:rsidR="00CF6F3D" w:rsidRPr="00CF6F3D" w:rsidRDefault="00CF6F3D" w:rsidP="00CF6F3D">
      <w:pPr>
        <w:spacing w:line="576" w:lineRule="exact"/>
        <w:ind w:firstLineChars="200" w:firstLine="640"/>
        <w:rPr>
          <w:rFonts w:ascii="黑体" w:eastAsia="黑体" w:hAnsi="黑体"/>
          <w:sz w:val="32"/>
          <w:szCs w:val="32"/>
        </w:rPr>
      </w:pPr>
      <w:r w:rsidRPr="00CF6F3D">
        <w:rPr>
          <w:rFonts w:ascii="黑体" w:eastAsia="黑体" w:hAnsi="黑体" w:hint="eastAsia"/>
          <w:sz w:val="32"/>
          <w:szCs w:val="32"/>
        </w:rPr>
        <w:t>结构调整步伐加快，经济迈向中高端动能积蓄</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坚定不移地推进结构调整，新的产业亮点和区域极点不断涌现，经济发展新动能正在加快生成。</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产业结构调整亮点纷呈。新产业、新业态、新技术和新模式竞相迸发，生产性服务业和战略性新兴产业发展势头良好，服务业主导经济增长的态势基本形成。1—9月，第三产业占GDP的比重达51.4%。《中国制造2025》和《增强制造业核心竞争力三年行动计划》有效落实，前8个月高技术制造业增长10.4%，高出工业增长4.1个百分点。11项“互联</w:t>
      </w:r>
      <w:r w:rsidRPr="00CF6F3D">
        <w:rPr>
          <w:rFonts w:ascii="仿宋" w:eastAsia="仿宋" w:hAnsi="仿宋" w:hint="eastAsia"/>
          <w:sz w:val="32"/>
          <w:szCs w:val="32"/>
        </w:rPr>
        <w:lastRenderedPageBreak/>
        <w:t>网 ”行动计划加快实施，互联网经济总量不断提升，基于互联网平台的分享经济蓬勃发展。</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区域新增长极加快形成。启动实施了一批“一带一路”基础设施互联互通、能源资源、产能合作等重大项目，有序开展京津冀交通一体化、生态环保合作和产业对接协作，稳步推进长江经济带综合立体交通走廊、现代产业走廊和沿江绿色廊道建设。“三大战略”开始从蓝图向现实转化，一些率先推进转型的地区经济发展数据亮眼。前三季度，重庆GDP增长高出全国4.1个百分点，深圳先进制造业占全市规模以上工业增加值的比重已达到75.6%。</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新型城镇化扎实推进。以“一融双新多群”为重点，推进以人为核心的新型城镇化，城镇化发展质量不断提升。24个省份和新疆生产建设兵团出台户籍制度改革方案，推动了农村转移人口融入城镇。加快推进新型城镇化“62 2”试点和60个产城融合示范区建设，积极培育了一批新生中小城市。强化城市轨道交通、停车设施和地下综合管廊建设，推进开发区功能转型，着力建设了一批新型城市。以城市群为主体的城镇化形态加快形成，城市群基础设施建设和一体化进程稳步推进。</w:t>
      </w:r>
    </w:p>
    <w:p w:rsidR="00CF6F3D" w:rsidRPr="00CF6F3D" w:rsidRDefault="00CF6F3D" w:rsidP="00CF6F3D">
      <w:pPr>
        <w:spacing w:line="576" w:lineRule="exact"/>
        <w:ind w:firstLineChars="200" w:firstLine="640"/>
        <w:rPr>
          <w:rFonts w:ascii="黑体" w:eastAsia="黑体" w:hAnsi="黑体"/>
          <w:sz w:val="32"/>
          <w:szCs w:val="32"/>
        </w:rPr>
      </w:pPr>
      <w:r w:rsidRPr="00CF6F3D">
        <w:rPr>
          <w:rFonts w:ascii="黑体" w:eastAsia="黑体" w:hAnsi="黑体" w:hint="eastAsia"/>
          <w:sz w:val="32"/>
          <w:szCs w:val="32"/>
        </w:rPr>
        <w:t>民生保障日益强化，人民群众获得感明显提高</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着力促就业、增收入、强社保、保安居，坚决兑现保障民生的承诺，让人民群众在发展改革中得到更多实惠。</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全年新增就业目标提前完成。出台了创业扶持、创业服务、创业培训等一整套政策，强化众创、众包、众扶、众筹</w:t>
      </w:r>
      <w:r w:rsidRPr="00CF6F3D">
        <w:rPr>
          <w:rFonts w:ascii="仿宋" w:eastAsia="仿宋" w:hAnsi="仿宋" w:hint="eastAsia"/>
          <w:sz w:val="32"/>
          <w:szCs w:val="32"/>
        </w:rPr>
        <w:lastRenderedPageBreak/>
        <w:t>等服务平台建设，形成了空前浓厚的大众创业、万众创新氛围，各类企业“双创”培育平台、孵化基金、创业集聚区加快成长，创业带动就业效应不断显现。在持续帮扶下岗失业人员再就业基础上，更加重视对青年实施就业帮扶，引导鼓励企业稳定就业岗位。前三季度，全国城镇新增就业1066万人，城镇调查失业率稳定在5.1%—5.2%。</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收入“两个高于”态势继续保持。目前已有22个省（市、区）上调了最低工资标准，机关事业单位养老保险制度改革和配套增资措施全部落地，7月末调整基本工资标准的兑现工作已全面完成。前三季度，城乡居民人均可支配收入实际增长7.7%，高于同期GDP增速0.8个百分点；农村居民人均可支配收入实际增长8.4%，高于同期城镇居民人均可支配收入实际增速1.6个百分点。</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社会保险扩面提标降费稳步推进。退休人员养老金再次上调，实现“11连涨”。城乡居民养老保险基础养老金最低标准由每人每月55元提高至每人每月70元，社会养老保险保障水平有所提高。失业保险费率由3%降至2%，工伤保险实际平均费率由0.9%左右降至0.7%左右，部分地区生育保险筹资比例可下调0.5个百分点，减轻了企业社保缴费负担，缓解了企业实际困难。</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保障性安居工程年度目标完成九成以上。全面推进保障性安居工程建设，加大开发性金融支持棚户区改造力度，前三季度，保障性安居工程完成投资1.11万亿元，基本建成套数完成年度目标任务的92%，新开工套数已达年度目标任</w:t>
      </w:r>
      <w:r w:rsidRPr="00CF6F3D">
        <w:rPr>
          <w:rFonts w:ascii="仿宋" w:eastAsia="仿宋" w:hAnsi="仿宋" w:hint="eastAsia"/>
          <w:sz w:val="32"/>
          <w:szCs w:val="32"/>
        </w:rPr>
        <w:lastRenderedPageBreak/>
        <w:t>务的130%，提前超额完成年度目标任务，千万住房困难家庭居住条件将得以改善。</w:t>
      </w:r>
    </w:p>
    <w:p w:rsidR="00CF6F3D" w:rsidRPr="00CF6F3D" w:rsidRDefault="00CF6F3D" w:rsidP="00CF6F3D">
      <w:pPr>
        <w:spacing w:line="576" w:lineRule="exact"/>
        <w:ind w:firstLineChars="200" w:firstLine="640"/>
        <w:rPr>
          <w:rFonts w:ascii="黑体" w:eastAsia="黑体" w:hAnsi="黑体"/>
          <w:sz w:val="32"/>
          <w:szCs w:val="32"/>
        </w:rPr>
      </w:pPr>
      <w:r w:rsidRPr="00CF6F3D">
        <w:rPr>
          <w:rFonts w:ascii="黑体" w:eastAsia="黑体" w:hAnsi="黑体" w:hint="eastAsia"/>
          <w:sz w:val="32"/>
          <w:szCs w:val="32"/>
        </w:rPr>
        <w:t>着力防范化解风险，经济风险总体可控</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采取疏堵结合、管防并重政策措施，有效防止了个案性、局部性风险演化成为系统性、区域性风险。</w:t>
      </w:r>
    </w:p>
    <w:p w:rsid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资本市场风险管控及时有效。针对6月中旬以来的股市异常波动和持续动荡，通过证金公司入场持股、限制场外融资和打击恶意做空等一系列措施稳定市场运行，修改不科学、不周全的市场规则，完善市场制度，有效防止了股市风险通过资产负债表和信贷渠道向实体经济传导蔓延，推动股市进入自我修复调节阶段。通过加强在岸和离岸人民币汇率的市场化调控和管理，及时稳定了人民币汇率走势及预期，有效防止了人民币汇率出现大幅波动。债券市场刚性兑付逐步打破，多家企业面临违约风险，但信用风险控制在个案范围内，并未构成系统性风险。</w:t>
      </w:r>
    </w:p>
    <w:p w:rsidR="00CF6F3D" w:rsidRPr="00CF6F3D" w:rsidRDefault="00CF6F3D" w:rsidP="00CF6F3D">
      <w:pPr>
        <w:spacing w:line="576" w:lineRule="exact"/>
        <w:ind w:firstLineChars="200" w:firstLine="640"/>
        <w:rPr>
          <w:rFonts w:ascii="仿宋" w:eastAsia="仿宋" w:hAnsi="仿宋"/>
          <w:sz w:val="32"/>
          <w:szCs w:val="32"/>
        </w:rPr>
      </w:pPr>
      <w:r w:rsidRPr="00CF6F3D">
        <w:rPr>
          <w:rFonts w:ascii="仿宋" w:eastAsia="仿宋" w:hAnsi="仿宋" w:hint="eastAsia"/>
          <w:sz w:val="32"/>
          <w:szCs w:val="32"/>
        </w:rPr>
        <w:t>地方债务风险逐步化解。实施了规范地方政府债务、构建长效债务机制等措施。一方面堵后门，坚决制止地方政府违规举债，融资平台不得新增政府债务，绷紧地方债管控“紧箍咒”。另一方面开前门，打出“组合拳”，允许有条件的地方政府自行发行债券，加强政府债务举借、资金使用和偿还全过程、全口径管理，地方政府债务风险得到有效管控。继续保持在建项目后续融资，以长期、低息政府债券置换短期、高息存量债务，前后分三批部署3.2万亿元置换额度，已落实近2万亿元，大大缓解了当前地方政府还本付息压力。（国</w:t>
      </w:r>
      <w:r w:rsidRPr="00CF6F3D">
        <w:rPr>
          <w:rFonts w:ascii="仿宋" w:eastAsia="仿宋" w:hAnsi="仿宋" w:hint="eastAsia"/>
          <w:sz w:val="32"/>
          <w:szCs w:val="32"/>
        </w:rPr>
        <w:lastRenderedPageBreak/>
        <w:t>家发展改革委宏观经济研究院吴晓华）</w:t>
      </w:r>
    </w:p>
    <w:p w:rsidR="000F281B" w:rsidRPr="00CF6F3D" w:rsidRDefault="000F281B" w:rsidP="00CF6F3D">
      <w:pPr>
        <w:spacing w:line="576" w:lineRule="exact"/>
        <w:rPr>
          <w:rFonts w:ascii="仿宋" w:eastAsia="仿宋" w:hAnsi="仿宋"/>
          <w:sz w:val="32"/>
          <w:szCs w:val="32"/>
        </w:rPr>
      </w:pPr>
    </w:p>
    <w:sectPr w:rsidR="000F281B" w:rsidRPr="00CF6F3D" w:rsidSect="00F037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A4A" w:rsidRDefault="00444A4A" w:rsidP="00CF6F3D">
      <w:r>
        <w:separator/>
      </w:r>
    </w:p>
  </w:endnote>
  <w:endnote w:type="continuationSeparator" w:id="1">
    <w:p w:rsidR="00444A4A" w:rsidRDefault="00444A4A" w:rsidP="00CF6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A4A" w:rsidRDefault="00444A4A" w:rsidP="00CF6F3D">
      <w:r>
        <w:separator/>
      </w:r>
    </w:p>
  </w:footnote>
  <w:footnote w:type="continuationSeparator" w:id="1">
    <w:p w:rsidR="00444A4A" w:rsidRDefault="00444A4A" w:rsidP="00CF6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F3D"/>
    <w:rsid w:val="000F281B"/>
    <w:rsid w:val="00444A4A"/>
    <w:rsid w:val="00CF6F3D"/>
    <w:rsid w:val="00EC1E68"/>
    <w:rsid w:val="00F03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6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6F3D"/>
    <w:rPr>
      <w:sz w:val="18"/>
      <w:szCs w:val="18"/>
    </w:rPr>
  </w:style>
  <w:style w:type="paragraph" w:styleId="a4">
    <w:name w:val="footer"/>
    <w:basedOn w:val="a"/>
    <w:link w:val="Char0"/>
    <w:uiPriority w:val="99"/>
    <w:semiHidden/>
    <w:unhideWhenUsed/>
    <w:rsid w:val="00CF6F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6F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96E4-2395-45B3-9621-86909C00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2015-11-04T01:40:00Z</dcterms:created>
  <dcterms:modified xsi:type="dcterms:W3CDTF">2015-11-04T01:47:00Z</dcterms:modified>
</cp:coreProperties>
</file>